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mallCaps w:val="1"/>
          <w:sz w:val="24"/>
          <w:szCs w:val="24"/>
        </w:rPr>
        <w:sectPr>
          <w:headerReference r:id="rId7" w:type="default"/>
          <w:headerReference r:id="rId8" w:type="first"/>
          <w:footerReference r:id="rId9" w:type="default"/>
          <w:footerReference r:id="rId10" w:type="first"/>
          <w:pgSz w:h="16838" w:w="11906" w:orient="portrait"/>
          <w:pgMar w:bottom="1440" w:top="1440" w:left="1440" w:right="1440" w:header="720" w:footer="720"/>
          <w:pgNumType w:start="1"/>
        </w:sectPr>
      </w:pPr>
      <w:bookmarkStart w:colFirst="0" w:colLast="0" w:name="_heading=h.30j0zll" w:id="0"/>
      <w:bookmarkEnd w:id="0"/>
      <w:r w:rsidDel="00000000" w:rsidR="00000000" w:rsidRPr="00000000">
        <w:rPr>
          <w:rFonts w:ascii="Arial" w:cs="Arial" w:eastAsia="Arial" w:hAnsi="Arial"/>
          <w:b w:val="1"/>
          <w:smallCaps w:val="1"/>
          <w:sz w:val="24"/>
          <w:szCs w:val="24"/>
        </w:rPr>
        <mc:AlternateContent>
          <mc:Choice Requires="wpg">
            <w:drawing>
              <wp:anchor allowOverlap="1" behindDoc="0" distB="0" distT="0" distL="114300" distR="114300" hidden="0" layoutInCell="1" locked="0" relativeHeight="0" simplePos="0">
                <wp:simplePos x="0" y="0"/>
                <wp:positionH relativeFrom="page">
                  <wp:posOffset>833438</wp:posOffset>
                </wp:positionH>
                <wp:positionV relativeFrom="margin">
                  <wp:posOffset>967065</wp:posOffset>
                </wp:positionV>
                <wp:extent cx="5812163" cy="7688461"/>
                <wp:effectExtent b="0" l="0" r="0" t="0"/>
                <wp:wrapNone/>
                <wp:docPr id="13" name=""/>
                <a:graphic>
                  <a:graphicData uri="http://schemas.microsoft.com/office/word/2010/wordprocessingGroup">
                    <wpg:wgp>
                      <wpg:cNvGrpSpPr/>
                      <wpg:grpSpPr>
                        <a:xfrm>
                          <a:off x="2439900" y="0"/>
                          <a:ext cx="5812163" cy="7688461"/>
                          <a:chOff x="2439900" y="0"/>
                          <a:chExt cx="5812200" cy="7560000"/>
                        </a:xfrm>
                      </wpg:grpSpPr>
                      <wpg:grpSp>
                        <wpg:cNvGrpSpPr/>
                        <wpg:grpSpPr>
                          <a:xfrm>
                            <a:off x="2439919" y="0"/>
                            <a:ext cx="5812163" cy="7560000"/>
                            <a:chOff x="2202750" y="0"/>
                            <a:chExt cx="6286500" cy="7560000"/>
                          </a:xfrm>
                        </wpg:grpSpPr>
                        <wps:wsp>
                          <wps:cNvSpPr/>
                          <wps:cNvPr id="3" name="Shape 3"/>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00" cy="7560000"/>
                            </a:xfrm>
                          </wpg:grpSpPr>
                          <wps:wsp>
                            <wps:cNvSpPr/>
                            <wps:cNvPr id="5" name="Shape 5"/>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25" cy="7560000"/>
                              </a:xfrm>
                            </wpg:grpSpPr>
                            <wps:wsp>
                              <wps:cNvSpPr/>
                              <wps:cNvPr id="7" name="Shape 7"/>
                              <wps:spPr>
                                <a:xfrm>
                                  <a:off x="2202750" y="0"/>
                                  <a:ext cx="6286525"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00" cy="7560000"/>
                                </a:xfrm>
                              </wpg:grpSpPr>
                              <wps:wsp>
                                <wps:cNvSpPr/>
                                <wps:cNvPr id="9" name="Shape 9"/>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133357" y="-2276513"/>
                                    <a:chExt cx="6286835" cy="8320544"/>
                                  </a:xfrm>
                                </wpg:grpSpPr>
                                <wps:wsp>
                                  <wps:cNvSpPr/>
                                  <wps:cNvPr id="11" name="Shape 11"/>
                                  <wps:spPr>
                                    <a:xfrm>
                                      <a:off x="-133357" y="-2276513"/>
                                      <a:ext cx="6286825" cy="8320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2" name="Shape 12"/>
                                  <wps:spPr>
                                    <a:xfrm>
                                      <a:off x="2980383" y="5629376"/>
                                      <a:ext cx="3173095" cy="414655"/>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right"/>
                                          <w:textDirection w:val="btLr"/>
                                        </w:pPr>
                                      </w:p>
                                    </w:txbxContent>
                                  </wps:txbx>
                                  <wps:bodyPr anchorCtr="0" anchor="t" bIns="45700" lIns="91425" spcFirstLastPara="1" rIns="91425" wrap="square" tIns="45700">
                                    <a:noAutofit/>
                                  </wps:bodyPr>
                                </wps:wsp>
                                <wps:wsp>
                                  <wps:cNvSpPr/>
                                  <wps:cNvPr id="13" name="Shape 13"/>
                                  <wps:spPr>
                                    <a:xfrm>
                                      <a:off x="-133357" y="-2276513"/>
                                      <a:ext cx="5485128" cy="4615177"/>
                                    </a:xfrm>
                                    <a:prstGeom prst="rect">
                                      <a:avLst/>
                                    </a:prstGeom>
                                    <a:noFill/>
                                    <a:ln>
                                      <a:noFill/>
                                    </a:ln>
                                  </wps:spPr>
                                  <wps:txbx>
                                    <w:txbxContent>
                                      <w:p w:rsidR="00000000" w:rsidDel="00000000" w:rsidP="00000000" w:rsidRDefault="00000000" w:rsidRPr="00000000">
                                        <w:pPr>
                                          <w:spacing w:after="0" w:before="0" w:line="275.00000953674316"/>
                                          <w:ind w:left="0" w:right="0" w:firstLine="0"/>
                                          <w:jc w:val="left"/>
                                          <w:textDirection w:val="btLr"/>
                                        </w:pP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Framework </w:t>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Award Form</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p>
                                    </w:txbxContent>
                                  </wps:txbx>
                                  <wps:bodyPr anchorCtr="0" anchor="b" bIns="45700" lIns="91425" spcFirstLastPara="1" rIns="91425" wrap="square" tIns="45700">
                                    <a:noAutofit/>
                                  </wps:bodyPr>
                                </wps:wsp>
                              </wpg:grpSp>
                            </wpg:grpSp>
                          </wpg:grpSp>
                        </wpg:grpSp>
                      </wpg:grpSp>
                    </wpg:wgp>
                  </a:graphicData>
                </a:graphic>
              </wp:anchor>
            </w:drawing>
          </mc:Choice>
          <mc:Fallback>
            <w:drawing>
              <wp:anchor allowOverlap="1" behindDoc="0" distB="0" distT="0" distL="114300" distR="114300" hidden="0" layoutInCell="1" locked="0" relativeHeight="0" simplePos="0">
                <wp:simplePos x="0" y="0"/>
                <wp:positionH relativeFrom="page">
                  <wp:posOffset>833438</wp:posOffset>
                </wp:positionH>
                <wp:positionV relativeFrom="margin">
                  <wp:posOffset>967065</wp:posOffset>
                </wp:positionV>
                <wp:extent cx="5812163" cy="7688461"/>
                <wp:effectExtent b="0" l="0" r="0" t="0"/>
                <wp:wrapNone/>
                <wp:docPr id="13" name="image2.png"/>
                <a:graphic>
                  <a:graphicData uri="http://schemas.openxmlformats.org/drawingml/2006/picture">
                    <pic:pic>
                      <pic:nvPicPr>
                        <pic:cNvPr id="0" name="image2.png"/>
                        <pic:cNvPicPr preferRelativeResize="0"/>
                      </pic:nvPicPr>
                      <pic:blipFill>
                        <a:blip r:embed="rId11"/>
                        <a:srcRect/>
                        <a:stretch>
                          <a:fillRect/>
                        </a:stretch>
                      </pic:blipFill>
                      <pic:spPr>
                        <a:xfrm>
                          <a:off x="0" y="0"/>
                          <a:ext cx="5812163" cy="7688461"/>
                        </a:xfrm>
                        <a:prstGeom prst="rect"/>
                        <a:ln/>
                      </pic:spPr>
                    </pic:pic>
                  </a:graphicData>
                </a:graphic>
              </wp:anchor>
            </w:drawing>
          </mc:Fallback>
        </mc:AlternateConten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96525</wp:posOffset>
            </wp:positionH>
            <wp:positionV relativeFrom="paragraph">
              <wp:posOffset>1698625</wp:posOffset>
            </wp:positionV>
            <wp:extent cx="1647190" cy="1371600"/>
            <wp:effectExtent b="0" l="0" r="0" t="0"/>
            <wp:wrapNone/>
            <wp:docPr descr="Crown Commercial Service" id="14" name="image1.png"/>
            <a:graphic>
              <a:graphicData uri="http://schemas.openxmlformats.org/drawingml/2006/picture">
                <pic:pic>
                  <pic:nvPicPr>
                    <pic:cNvPr descr="Crown Commercial Service" id="0" name="image1.png"/>
                    <pic:cNvPicPr preferRelativeResize="0"/>
                  </pic:nvPicPr>
                  <pic:blipFill>
                    <a:blip r:embed="rId12"/>
                    <a:srcRect b="0" l="0" r="0" t="0"/>
                    <a:stretch>
                      <a:fillRect/>
                    </a:stretch>
                  </pic:blipFill>
                  <pic:spPr>
                    <a:xfrm>
                      <a:off x="0" y="0"/>
                      <a:ext cx="1647190" cy="1371600"/>
                    </a:xfrm>
                    <a:prstGeom prst="rect"/>
                    <a:ln/>
                  </pic:spPr>
                </pic:pic>
              </a:graphicData>
            </a:graphic>
          </wp:anchor>
        </w:drawing>
      </w:r>
    </w:p>
    <w:p w:rsidR="00000000" w:rsidDel="00000000" w:rsidP="00000000" w:rsidRDefault="00000000" w:rsidRPr="00000000" w14:paraId="00000002">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Framework Award Form creates the Framework Contract RM6302 Language Services. It summarises the main features of the procurement and includes CCS and the Supplier’s contact details.</w:t>
      </w:r>
    </w:p>
    <w:tbl>
      <w:tblPr>
        <w:tblStyle w:val="Table1"/>
        <w:tblW w:w="10530.0" w:type="dxa"/>
        <w:jc w:val="left"/>
        <w:tblInd w:w="-730.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435"/>
        <w:gridCol w:w="2340"/>
        <w:gridCol w:w="7755"/>
        <w:tblGridChange w:id="0">
          <w:tblGrid>
            <w:gridCol w:w="435"/>
            <w:gridCol w:w="2340"/>
            <w:gridCol w:w="7755"/>
          </w:tblGrid>
        </w:tblGridChange>
      </w:tblGrid>
      <w:tr>
        <w:trPr>
          <w:cantSplit w:val="0"/>
          <w:trHeight w:val="1072" w:hRule="atLeast"/>
          <w:tblHeader w:val="0"/>
        </w:trPr>
        <w:tc>
          <w:tcPr/>
          <w:p w:rsidR="00000000" w:rsidDel="00000000" w:rsidP="00000000" w:rsidRDefault="00000000" w:rsidRPr="00000000" w14:paraId="00000004">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tc>
        <w:tc>
          <w:tcPr/>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represented by its executive agency the Crown Commercial Service (CCS). </w:t>
            </w:r>
          </w:p>
          <w:p w:rsidR="00000000" w:rsidDel="00000000" w:rsidP="00000000" w:rsidRDefault="00000000" w:rsidRPr="00000000" w14:paraId="00000007">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offices are on: 9th Floor, The Capital, Old Hall Street, Liverpool L3 9PP.</w:t>
            </w:r>
          </w:p>
          <w:p w:rsidR="00000000" w:rsidDel="00000000" w:rsidP="00000000" w:rsidRDefault="00000000" w:rsidRPr="00000000" w14:paraId="00000009">
            <w:pPr>
              <w:spacing w:after="0" w:lineRule="auto"/>
              <w:rPr>
                <w:rFonts w:ascii="Arial" w:cs="Arial" w:eastAsia="Arial" w:hAnsi="Arial"/>
                <w:b w:val="1"/>
                <w:color w:val="000000"/>
                <w:sz w:val="24"/>
                <w:szCs w:val="24"/>
                <w:highlight w:val="yellow"/>
              </w:rPr>
            </w:pPr>
            <w:r w:rsidDel="00000000" w:rsidR="00000000" w:rsidRPr="00000000">
              <w:rPr>
                <w:rtl w:val="0"/>
              </w:rPr>
            </w:r>
          </w:p>
        </w:tc>
      </w:tr>
      <w:tr>
        <w:trPr>
          <w:cantSplit w:val="0"/>
          <w:trHeight w:val="976" w:hRule="atLeast"/>
          <w:tblHeader w:val="0"/>
        </w:trPr>
        <w:tc>
          <w:tcPr/>
          <w:p w:rsidR="00000000" w:rsidDel="00000000" w:rsidP="00000000" w:rsidRDefault="00000000" w:rsidRPr="00000000" w14:paraId="0000000A">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pacing w:after="0" w:lineRule="auto"/>
              <w:rPr>
                <w:rFonts w:ascii="Arial" w:cs="Arial" w:eastAsia="Arial" w:hAnsi="Arial"/>
                <w:b w:val="1"/>
                <w:color w:val="000000"/>
                <w:sz w:val="24"/>
                <w:szCs w:val="24"/>
              </w:rPr>
            </w:pPr>
            <w:r w:rsidDel="00000000" w:rsidR="00000000" w:rsidRPr="00000000">
              <w:rPr>
                <w:rtl w:val="0"/>
              </w:rPr>
            </w:r>
          </w:p>
          <w:tbl>
            <w:tblPr>
              <w:tblStyle w:val="Table2"/>
              <w:tblW w:w="729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100"/>
              <w:gridCol w:w="5190"/>
              <w:tblGridChange w:id="0">
                <w:tblGrid>
                  <w:gridCol w:w="2100"/>
                  <w:gridCol w:w="5190"/>
                </w:tblGrid>
              </w:tblGridChange>
            </w:tblGrid>
            <w:tr>
              <w:trPr>
                <w:cantSplit w:val="0"/>
                <w:trHeight w:val="167.37304687500006" w:hRule="atLeast"/>
                <w:tblHeader w:val="0"/>
              </w:trPr>
              <w:tc>
                <w:tcPr>
                  <w:shd w:fill="auto" w:val="clear"/>
                </w:tcPr>
                <w:p w:rsidR="00000000" w:rsidDel="00000000" w:rsidP="00000000" w:rsidRDefault="00000000" w:rsidRPr="00000000" w14:paraId="0000000D">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tc>
              <w:tc>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[Supplier Name</w:t>
                  </w:r>
                  <w:r w:rsidDel="00000000" w:rsidR="00000000" w:rsidRPr="00000000">
                    <w:rPr>
                      <w:rFonts w:ascii="Arial" w:cs="Arial" w:eastAsia="Arial" w:hAnsi="Arial"/>
                      <w:color w:val="000000"/>
                      <w:sz w:val="24"/>
                      <w:szCs w:val="24"/>
                      <w:rtl w:val="0"/>
                    </w:rPr>
                    <w:t xml:space="preserve">]</w:t>
                  </w:r>
                </w:p>
              </w:tc>
            </w:tr>
            <w:tr>
              <w:trPr>
                <w:cantSplit w:val="0"/>
                <w:tblHeader w:val="0"/>
              </w:trPr>
              <w:tc>
                <w:tcPr>
                  <w:shd w:fill="auto" w:val="clear"/>
                </w:tcPr>
                <w:p w:rsidR="00000000" w:rsidDel="00000000" w:rsidP="00000000" w:rsidRDefault="00000000" w:rsidRPr="00000000" w14:paraId="0000000F">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Address: </w:t>
                  </w:r>
                </w:p>
              </w:tc>
              <w:tc>
                <w:tcPr/>
                <w:p w:rsidR="00000000" w:rsidDel="00000000" w:rsidP="00000000" w:rsidRDefault="00000000" w:rsidRPr="00000000" w14:paraId="00000010">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Supplier Address</w:t>
                  </w:r>
                  <w:r w:rsidDel="00000000" w:rsidR="00000000" w:rsidRPr="00000000">
                    <w:rPr>
                      <w:rFonts w:ascii="Arial" w:cs="Arial" w:eastAsia="Arial" w:hAnsi="Arial"/>
                      <w:color w:val="000000"/>
                      <w:sz w:val="24"/>
                      <w:szCs w:val="24"/>
                      <w:rtl w:val="0"/>
                    </w:rPr>
                    <w:t xml:space="preserve">]</w:t>
                  </w:r>
                </w:p>
              </w:tc>
            </w:tr>
            <w:tr>
              <w:trPr>
                <w:cantSplit w:val="0"/>
                <w:tblHeader w:val="0"/>
              </w:trPr>
              <w:tc>
                <w:tcPr>
                  <w:shd w:fill="auto" w:val="clear"/>
                </w:tcPr>
                <w:p w:rsidR="00000000" w:rsidDel="00000000" w:rsidP="00000000" w:rsidRDefault="00000000" w:rsidRPr="00000000" w14:paraId="00000011">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Registration number:    </w:t>
                  </w:r>
                </w:p>
              </w:tc>
              <w:tc>
                <w:tcPr/>
                <w:p w:rsidR="00000000" w:rsidDel="00000000" w:rsidP="00000000" w:rsidRDefault="00000000" w:rsidRPr="00000000" w14:paraId="00000012">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Supplier Registration</w:t>
                  </w:r>
                  <w:r w:rsidDel="00000000" w:rsidR="00000000" w:rsidRPr="00000000">
                    <w:rPr>
                      <w:rFonts w:ascii="Arial" w:cs="Arial" w:eastAsia="Arial" w:hAnsi="Arial"/>
                      <w:color w:val="000000"/>
                      <w:sz w:val="24"/>
                      <w:szCs w:val="24"/>
                      <w:rtl w:val="0"/>
                    </w:rPr>
                    <w:t xml:space="preserve">]</w:t>
                  </w:r>
                </w:p>
              </w:tc>
            </w:tr>
            <w:tr>
              <w:trPr>
                <w:cantSplit w:val="0"/>
                <w:tblHeader w:val="0"/>
              </w:trPr>
              <w:tc>
                <w:tcPr>
                  <w:shd w:fill="auto" w:val="clear"/>
                </w:tcPr>
                <w:p w:rsidR="00000000" w:rsidDel="00000000" w:rsidP="00000000" w:rsidRDefault="00000000" w:rsidRPr="00000000" w14:paraId="00000013">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SID4GOV ID:</w:t>
                  </w:r>
                </w:p>
              </w:tc>
              <w:tc>
                <w:tcPr/>
                <w:p w:rsidR="00000000" w:rsidDel="00000000" w:rsidP="00000000" w:rsidRDefault="00000000" w:rsidRPr="00000000" w14:paraId="0000001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Supplier SID4GOV ID</w:t>
                  </w:r>
                  <w:r w:rsidDel="00000000" w:rsidR="00000000" w:rsidRPr="00000000">
                    <w:rPr>
                      <w:rFonts w:ascii="Arial" w:cs="Arial" w:eastAsia="Arial" w:hAnsi="Arial"/>
                      <w:color w:val="000000"/>
                      <w:sz w:val="20"/>
                      <w:szCs w:val="20"/>
                      <w:rtl w:val="0"/>
                    </w:rPr>
                    <w:t xml:space="preserv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5">
                  <w:pPr>
                    <w:spacing w:after="0" w:lineRule="auto"/>
                    <w:ind w:left="-75" w:firstLine="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16">
                  <w:pPr>
                    <w:spacing w:after="0" w:lineRule="auto"/>
                    <w:rPr>
                      <w:rFonts w:ascii="Arial" w:cs="Arial" w:eastAsia="Arial" w:hAnsi="Arial"/>
                      <w:color w:val="000000"/>
                      <w:sz w:val="24"/>
                      <w:szCs w:val="24"/>
                      <w:highlight w:val="yellow"/>
                    </w:rPr>
                  </w:pPr>
                  <w:r w:rsidDel="00000000" w:rsidR="00000000" w:rsidRPr="00000000">
                    <w:rPr>
                      <w:rtl w:val="0"/>
                    </w:rPr>
                  </w:r>
                </w:p>
              </w:tc>
            </w:tr>
          </w:tbl>
          <w:p w:rsidR="00000000" w:rsidDel="00000000" w:rsidP="00000000" w:rsidRDefault="00000000" w:rsidRPr="00000000" w14:paraId="00000017">
            <w:pPr>
              <w:spacing w:after="0" w:lineRule="auto"/>
              <w:rPr>
                <w:rFonts w:ascii="Arial" w:cs="Arial" w:eastAsia="Arial" w:hAnsi="Arial"/>
                <w:color w:val="000000"/>
                <w:sz w:val="24"/>
                <w:szCs w:val="24"/>
              </w:rPr>
            </w:pPr>
            <w:r w:rsidDel="00000000" w:rsidR="00000000" w:rsidRPr="00000000">
              <w:rPr>
                <w:rtl w:val="0"/>
              </w:rPr>
            </w:r>
          </w:p>
        </w:tc>
      </w:tr>
      <w:tr>
        <w:trPr>
          <w:cantSplit w:val="0"/>
          <w:trHeight w:val="1446" w:hRule="atLeast"/>
          <w:tblHeader w:val="0"/>
        </w:trPr>
        <w:tc>
          <w:tcPr/>
          <w:p w:rsidR="00000000" w:rsidDel="00000000" w:rsidP="00000000" w:rsidRDefault="00000000" w:rsidRPr="00000000" w14:paraId="00000018">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0" w:line="240" w:lineRule="auto"/>
              <w:ind w:left="34"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  Framework Contract</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contract between CCS and the Supplier allows the Supplier to be considered for Call-off Contracts to supply the Deliverables in </w:t>
            </w:r>
            <w:r w:rsidDel="00000000" w:rsidR="00000000" w:rsidRPr="00000000">
              <w:rPr>
                <w:rFonts w:ascii="Arial" w:cs="Arial" w:eastAsia="Arial" w:hAnsi="Arial"/>
                <w:b w:val="1"/>
                <w:color w:val="000000"/>
                <w:sz w:val="24"/>
                <w:szCs w:val="24"/>
                <w:rtl w:val="0"/>
              </w:rPr>
              <w:t xml:space="preserve">[Lot]</w:t>
            </w:r>
            <w:r w:rsidDel="00000000" w:rsidR="00000000" w:rsidRPr="00000000">
              <w:rPr>
                <w:rFonts w:ascii="Arial" w:cs="Arial" w:eastAsia="Arial" w:hAnsi="Arial"/>
                <w:color w:val="000000"/>
                <w:sz w:val="24"/>
                <w:szCs w:val="24"/>
                <w:rtl w:val="0"/>
              </w:rPr>
              <w:t xml:space="preserve"> You cannot deliver in any other Lot under this contract. Any references made to other Lots in this contract do not apply.] </w:t>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bookmarkStart w:colFirst="0" w:colLast="0" w:name="_heading=h.gjdgxs" w:id="1"/>
            <w:bookmarkEnd w:id="1"/>
            <w:r w:rsidDel="00000000" w:rsidR="00000000" w:rsidRPr="00000000">
              <w:rPr>
                <w:rFonts w:ascii="Arial" w:cs="Arial" w:eastAsia="Arial" w:hAnsi="Arial"/>
                <w:color w:val="000000"/>
                <w:sz w:val="24"/>
                <w:szCs w:val="24"/>
                <w:rtl w:val="0"/>
              </w:rPr>
              <w:t xml:space="preserve">This opportunity is advertised in the Contract Notice in the Find a Tender Service reference 2024/S 000-030003 (FTS Contract Notice).</w:t>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highlight w:val="yellow"/>
              </w:rPr>
            </w:pPr>
            <w:r w:rsidDel="00000000" w:rsidR="00000000" w:rsidRPr="00000000">
              <w:rPr>
                <w:rtl w:val="0"/>
              </w:rPr>
            </w:r>
          </w:p>
        </w:tc>
      </w:tr>
      <w:tr>
        <w:trPr>
          <w:cantSplit w:val="0"/>
          <w:trHeight w:val="327" w:hRule="atLeast"/>
          <w:tblHeader w:val="0"/>
        </w:trPr>
        <w:tc>
          <w:tcPr/>
          <w:p w:rsidR="00000000" w:rsidDel="00000000" w:rsidP="00000000" w:rsidRDefault="00000000" w:rsidRPr="00000000" w14:paraId="0000001D">
            <w:pPr>
              <w:keepNext w:val="1"/>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 </w:t>
            </w:r>
          </w:p>
        </w:tc>
        <w:tc>
          <w:tcPr/>
          <w:p w:rsidR="00000000" w:rsidDel="00000000" w:rsidP="00000000" w:rsidRDefault="00000000" w:rsidRPr="00000000" w14:paraId="0000001F">
            <w:pPr>
              <w:spacing w:after="120" w:line="240" w:lineRule="auto"/>
              <w:ind w:left="360" w:firstLine="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Crown Commercial Service (CCS), as the Authority, has established a Framework Contract with multiple suppliers for the provision of Language Services including Translation, Transcription, Telephone and Video Interpreting Services, Non Spoken and Spoken Face to Face Interpreting Services, for use by the UK Public Sector Buyers identified at VI.3 of the contract notice.</w:t>
            </w:r>
          </w:p>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 Framework Schedule 1 (Specification) for further details.</w:t>
            </w:r>
          </w:p>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463" w:hRule="atLeast"/>
          <w:tblHeader w:val="0"/>
        </w:trPr>
        <w:tc>
          <w:tcPr/>
          <w:p w:rsidR="00000000" w:rsidDel="00000000" w:rsidP="00000000" w:rsidRDefault="00000000" w:rsidRPr="00000000" w14:paraId="00000022">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w:t>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6">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07/05/2025</w:t>
            </w:r>
          </w:p>
        </w:tc>
      </w:tr>
      <w:tr>
        <w:trPr>
          <w:cantSplit w:val="0"/>
          <w:trHeight w:val="60" w:hRule="atLeast"/>
          <w:tblHeader w:val="0"/>
        </w:trPr>
        <w:tc>
          <w:tcPr/>
          <w:p w:rsidR="00000000" w:rsidDel="00000000" w:rsidP="00000000" w:rsidRDefault="00000000" w:rsidRPr="00000000" w14:paraId="00000027">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A">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08/05/2028</w:t>
            </w:r>
          </w:p>
        </w:tc>
      </w:tr>
      <w:tr>
        <w:trPr>
          <w:cantSplit w:val="0"/>
          <w:trHeight w:val="471" w:hRule="atLeast"/>
          <w:tblHeader w:val="0"/>
        </w:trPr>
        <w:tc>
          <w:tcPr/>
          <w:p w:rsidR="00000000" w:rsidDel="00000000" w:rsidP="00000000" w:rsidRDefault="00000000" w:rsidRPr="00000000" w14:paraId="0000002B">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Optional</w:t>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w:t>
            </w:r>
          </w:p>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Period</w:t>
            </w:r>
          </w:p>
        </w:tc>
        <w:tc>
          <w:tcPr/>
          <w:p w:rsidR="00000000" w:rsidDel="00000000" w:rsidP="00000000" w:rsidRDefault="00000000" w:rsidRPr="00000000" w14:paraId="00000030">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will be established for 36 months with the option for CCS to extend for a further period of twelve (12) months.</w:t>
            </w:r>
          </w:p>
          <w:p w:rsidR="00000000" w:rsidDel="00000000" w:rsidP="00000000" w:rsidRDefault="00000000" w:rsidRPr="00000000" w14:paraId="00000031">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r>
      <w:tr>
        <w:trPr>
          <w:cantSplit w:val="0"/>
          <w:trHeight w:val="837" w:hRule="atLeast"/>
          <w:tblHeader w:val="0"/>
        </w:trPr>
        <w:tc>
          <w:tcPr/>
          <w:p w:rsidR="00000000" w:rsidDel="00000000" w:rsidP="00000000" w:rsidRDefault="00000000" w:rsidRPr="00000000" w14:paraId="00000032">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Procedure</w:t>
            </w:r>
          </w:p>
        </w:tc>
        <w:tc>
          <w:tcPr/>
          <w:p w:rsidR="00000000" w:rsidDel="00000000" w:rsidP="00000000" w:rsidRDefault="00000000" w:rsidRPr="00000000" w14:paraId="00000035">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6">
            <w:pPr>
              <w:numPr>
                <w:ilvl w:val="0"/>
                <w:numId w:val="5"/>
              </w:numPr>
              <w:pBdr>
                <w:top w:space="0" w:sz="0" w:val="nil"/>
                <w:left w:space="0" w:sz="0" w:val="nil"/>
                <w:bottom w:space="0" w:sz="0" w:val="nil"/>
                <w:right w:space="0" w:sz="0" w:val="nil"/>
                <w:between w:space="0" w:sz="0" w:val="nil"/>
              </w:pBdr>
              <w:spacing w:after="0" w:lineRule="auto"/>
              <w:ind w:left="720" w:right="93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 award</w:t>
            </w:r>
          </w:p>
          <w:p w:rsidR="00000000" w:rsidDel="00000000" w:rsidP="00000000" w:rsidRDefault="00000000" w:rsidRPr="00000000" w14:paraId="00000037">
            <w:pPr>
              <w:numPr>
                <w:ilvl w:val="0"/>
                <w:numId w:val="5"/>
              </w:numPr>
              <w:pBdr>
                <w:top w:space="0" w:sz="0" w:val="nil"/>
                <w:left w:space="0" w:sz="0" w:val="nil"/>
                <w:bottom w:space="0" w:sz="0" w:val="nil"/>
                <w:right w:space="0" w:sz="0" w:val="nil"/>
                <w:between w:space="0" w:sz="0" w:val="nil"/>
              </w:pBdr>
              <w:spacing w:after="0" w:lineRule="auto"/>
              <w:ind w:left="720" w:right="93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further competition</w:t>
            </w:r>
          </w:p>
          <w:p w:rsidR="00000000" w:rsidDel="00000000" w:rsidP="00000000" w:rsidRDefault="00000000" w:rsidRPr="00000000" w14:paraId="00000038">
            <w:pPr>
              <w:spacing w:after="0" w:lineRule="auto"/>
              <w:ind w:right="936"/>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9">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 Framework Schedule 7 (Call-off Award Procedure)</w:t>
            </w:r>
          </w:p>
          <w:p w:rsidR="00000000" w:rsidDel="00000000" w:rsidP="00000000" w:rsidRDefault="00000000" w:rsidRPr="00000000" w14:paraId="0000003A">
            <w:pPr>
              <w:spacing w:after="0" w:lineRule="auto"/>
              <w:ind w:right="936"/>
              <w:rPr>
                <w:rFonts w:ascii="Arial" w:cs="Arial" w:eastAsia="Arial" w:hAnsi="Arial"/>
                <w:sz w:val="24"/>
                <w:szCs w:val="24"/>
              </w:rPr>
            </w:pPr>
            <w:r w:rsidDel="00000000" w:rsidR="00000000" w:rsidRPr="00000000">
              <w:rPr>
                <w:rtl w:val="0"/>
              </w:rPr>
            </w:r>
          </w:p>
        </w:tc>
      </w:tr>
      <w:tr>
        <w:trPr>
          <w:cantSplit w:val="0"/>
          <w:trHeight w:val="231" w:hRule="atLeast"/>
          <w:tblHeader w:val="0"/>
        </w:trPr>
        <w:tc>
          <w:tcPr/>
          <w:p w:rsidR="00000000" w:rsidDel="00000000" w:rsidP="00000000" w:rsidRDefault="00000000" w:rsidRPr="00000000" w14:paraId="0000003B">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 </w:t>
            </w:r>
          </w:p>
          <w:p w:rsidR="00000000" w:rsidDel="00000000" w:rsidP="00000000" w:rsidRDefault="00000000" w:rsidRPr="00000000" w14:paraId="0000003D">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spacing w:after="0" w:line="259"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(together these documents form the ‘the Framework Contract’)</w:t>
            </w:r>
          </w:p>
          <w:p w:rsidR="00000000" w:rsidDel="00000000" w:rsidP="00000000" w:rsidRDefault="00000000" w:rsidRPr="00000000" w14:paraId="0000003F">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5">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6">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8">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A">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C">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D">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E">
            <w:pPr>
              <w:spacing w:after="0" w:line="259"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F">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documents are incorporated into the Framework Contract. Where numbers are missing we are not using these schedules. If the documents conflict, the following order of precedence applies:</w:t>
            </w:r>
          </w:p>
          <w:p w:rsidR="00000000" w:rsidDel="00000000" w:rsidP="00000000" w:rsidRDefault="00000000" w:rsidRPr="00000000" w14:paraId="00000050">
            <w:pPr>
              <w:numPr>
                <w:ilvl w:val="0"/>
                <w:numId w:val="4"/>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Award Form</w:t>
            </w:r>
          </w:p>
          <w:p w:rsidR="00000000" w:rsidDel="00000000" w:rsidP="00000000" w:rsidRDefault="00000000" w:rsidRPr="00000000" w14:paraId="00000051">
            <w:pPr>
              <w:numPr>
                <w:ilvl w:val="0"/>
                <w:numId w:val="4"/>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Framework Special Terms (see Section 10 ‘Framework Special Terms’ in this Framework Award Form)</w:t>
            </w:r>
          </w:p>
          <w:p w:rsidR="00000000" w:rsidDel="00000000" w:rsidP="00000000" w:rsidRDefault="00000000" w:rsidRPr="00000000" w14:paraId="00000052">
            <w:pPr>
              <w:numPr>
                <w:ilvl w:val="0"/>
                <w:numId w:val="4"/>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w:t>
            </w:r>
          </w:p>
          <w:p w:rsidR="00000000" w:rsidDel="00000000" w:rsidP="00000000" w:rsidRDefault="00000000" w:rsidRPr="00000000" w14:paraId="00000053">
            <w:pPr>
              <w:numPr>
                <w:ilvl w:val="0"/>
                <w:numId w:val="4"/>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 </w:t>
            </w:r>
          </w:p>
          <w:p w:rsidR="00000000" w:rsidDel="00000000" w:rsidP="00000000" w:rsidRDefault="00000000" w:rsidRPr="00000000" w14:paraId="00000054">
            <w:pPr>
              <w:numPr>
                <w:ilvl w:val="0"/>
                <w:numId w:val="4"/>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for (in equal order of precedence):</w:t>
            </w:r>
          </w:p>
          <w:p w:rsidR="00000000" w:rsidDel="00000000" w:rsidP="00000000" w:rsidRDefault="00000000" w:rsidRPr="00000000" w14:paraId="00000055">
            <w:pPr>
              <w:numPr>
                <w:ilvl w:val="1"/>
                <w:numId w:val="4"/>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1 (Specification) </w:t>
            </w:r>
          </w:p>
          <w:p w:rsidR="00000000" w:rsidDel="00000000" w:rsidP="00000000" w:rsidRDefault="00000000" w:rsidRPr="00000000" w14:paraId="00000056">
            <w:pPr>
              <w:numPr>
                <w:ilvl w:val="1"/>
                <w:numId w:val="4"/>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3 (Framework Prices)</w:t>
            </w:r>
          </w:p>
          <w:p w:rsidR="00000000" w:rsidDel="00000000" w:rsidP="00000000" w:rsidRDefault="00000000" w:rsidRPr="00000000" w14:paraId="00000057">
            <w:pPr>
              <w:numPr>
                <w:ilvl w:val="1"/>
                <w:numId w:val="4"/>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4 (Framework Management)</w:t>
            </w:r>
          </w:p>
          <w:p w:rsidR="00000000" w:rsidDel="00000000" w:rsidP="00000000" w:rsidRDefault="00000000" w:rsidRPr="00000000" w14:paraId="00000058">
            <w:pPr>
              <w:numPr>
                <w:ilvl w:val="1"/>
                <w:numId w:val="4"/>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5 (Management Charges and Information)</w:t>
            </w:r>
          </w:p>
          <w:p w:rsidR="00000000" w:rsidDel="00000000" w:rsidP="00000000" w:rsidRDefault="00000000" w:rsidRPr="00000000" w14:paraId="00000059">
            <w:pPr>
              <w:numPr>
                <w:ilvl w:val="1"/>
                <w:numId w:val="4"/>
              </w:numP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6a (Order Form Template and Call-Off Schedules) including the following template Call-Off Schedules: </w:t>
            </w:r>
          </w:p>
          <w:p w:rsidR="00000000" w:rsidDel="00000000" w:rsidP="00000000" w:rsidRDefault="00000000" w:rsidRPr="00000000" w14:paraId="0000005A">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5B">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5C">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5D">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4 (Call-Off Tender)</w:t>
              <w:tab/>
              <w:tab/>
            </w:r>
          </w:p>
          <w:p w:rsidR="00000000" w:rsidDel="00000000" w:rsidP="00000000" w:rsidRDefault="00000000" w:rsidRPr="00000000" w14:paraId="0000005E">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5 </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Pricing Details)</w:t>
              <w:tab/>
              <w:t xml:space="preserve">           </w:t>
            </w:r>
          </w:p>
          <w:p w:rsidR="00000000" w:rsidDel="00000000" w:rsidP="00000000" w:rsidRDefault="00000000" w:rsidRPr="00000000" w14:paraId="0000005F">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6 (ICT Services) </w:t>
              <w:tab/>
              <w:tab/>
            </w:r>
          </w:p>
          <w:p w:rsidR="00000000" w:rsidDel="00000000" w:rsidP="00000000" w:rsidRDefault="00000000" w:rsidRPr="00000000" w14:paraId="00000060">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7 (Key Supplier Staff)</w:t>
              <w:tab/>
              <w:tab/>
            </w:r>
          </w:p>
          <w:p w:rsidR="00000000" w:rsidDel="00000000" w:rsidP="00000000" w:rsidRDefault="00000000" w:rsidRPr="00000000" w14:paraId="00000061">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8 (Business Continuity and Disaster Recovery) </w:t>
            </w:r>
          </w:p>
          <w:p w:rsidR="00000000" w:rsidDel="00000000" w:rsidP="00000000" w:rsidRDefault="00000000" w:rsidRPr="00000000" w14:paraId="00000062">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9 (Security)</w:t>
              <w:tab/>
              <w:tab/>
              <w:t xml:space="preserve"> </w:t>
              <w:tab/>
            </w:r>
          </w:p>
          <w:p w:rsidR="00000000" w:rsidDel="00000000" w:rsidP="00000000" w:rsidRDefault="00000000" w:rsidRPr="00000000" w14:paraId="00000063">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10 (Exit Management) </w:t>
              <w:tab/>
            </w:r>
          </w:p>
          <w:p w:rsidR="00000000" w:rsidDel="00000000" w:rsidP="00000000" w:rsidRDefault="00000000" w:rsidRPr="00000000" w14:paraId="00000064">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12 (Clustering) </w:t>
              <w:tab/>
              <w:tab/>
            </w:r>
          </w:p>
          <w:p w:rsidR="00000000" w:rsidDel="00000000" w:rsidP="00000000" w:rsidRDefault="00000000" w:rsidRPr="00000000" w14:paraId="00000065">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13 (Implementation Plan and Testing)</w:t>
            </w:r>
          </w:p>
          <w:p w:rsidR="00000000" w:rsidDel="00000000" w:rsidP="00000000" w:rsidRDefault="00000000" w:rsidRPr="00000000" w14:paraId="00000066">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14 (Service Levels) </w:t>
              <w:tab/>
              <w:tab/>
            </w:r>
          </w:p>
          <w:p w:rsidR="00000000" w:rsidDel="00000000" w:rsidP="00000000" w:rsidRDefault="00000000" w:rsidRPr="00000000" w14:paraId="00000067">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15 (Call-Off Contract Management)</w:t>
            </w:r>
          </w:p>
          <w:p w:rsidR="00000000" w:rsidDel="00000000" w:rsidP="00000000" w:rsidRDefault="00000000" w:rsidRPr="00000000" w14:paraId="00000068">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16 (Benchmarking) </w:t>
              <w:tab/>
              <w:tab/>
            </w:r>
          </w:p>
          <w:p w:rsidR="00000000" w:rsidDel="00000000" w:rsidP="00000000" w:rsidRDefault="00000000" w:rsidRPr="00000000" w14:paraId="00000069">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17 (MOD Terms) </w:t>
              <w:tab/>
              <w:tab/>
              <w:t xml:space="preserve">              </w:t>
            </w:r>
          </w:p>
          <w:p w:rsidR="00000000" w:rsidDel="00000000" w:rsidP="00000000" w:rsidRDefault="00000000" w:rsidRPr="00000000" w14:paraId="0000006A">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18 (Background Checks) </w:t>
              <w:tab/>
            </w:r>
          </w:p>
          <w:p w:rsidR="00000000" w:rsidDel="00000000" w:rsidP="00000000" w:rsidRDefault="00000000" w:rsidRPr="00000000" w14:paraId="0000006B">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19 (Scottish Law)</w:t>
              <w:tab/>
              <w:tab/>
              <w:t xml:space="preserve">      </w:t>
            </w:r>
          </w:p>
          <w:p w:rsidR="00000000" w:rsidDel="00000000" w:rsidP="00000000" w:rsidRDefault="00000000" w:rsidRPr="00000000" w14:paraId="0000006C">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20 (Call-Off Specification)     </w:t>
            </w:r>
          </w:p>
          <w:p w:rsidR="00000000" w:rsidDel="00000000" w:rsidP="00000000" w:rsidRDefault="00000000" w:rsidRPr="00000000" w14:paraId="0000006D">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21 (Northern Ireland Law)    </w:t>
            </w:r>
          </w:p>
          <w:p w:rsidR="00000000" w:rsidDel="00000000" w:rsidP="00000000" w:rsidRDefault="00000000" w:rsidRPr="00000000" w14:paraId="0000006E">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23 (HMRC Terms)                 </w:t>
            </w:r>
          </w:p>
          <w:p w:rsidR="00000000" w:rsidDel="00000000" w:rsidP="00000000" w:rsidRDefault="00000000" w:rsidRPr="00000000" w14:paraId="0000006F">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24 (Corporate Resolution Planning)                    </w:t>
              <w:tab/>
              <w:tab/>
              <w:tab/>
              <w:tab/>
              <w:t xml:space="preserve">  </w:t>
            </w:r>
          </w:p>
          <w:p w:rsidR="00000000" w:rsidDel="00000000" w:rsidP="00000000" w:rsidRDefault="00000000" w:rsidRPr="00000000" w14:paraId="00000070">
            <w:pPr>
              <w:numPr>
                <w:ilvl w:val="1"/>
                <w:numId w:val="4"/>
              </w:numP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6b (Short Order Form Template and Call-Off Schedules) including the following template Call-Off Schedules: </w:t>
            </w:r>
          </w:p>
          <w:p w:rsidR="00000000" w:rsidDel="00000000" w:rsidP="00000000" w:rsidRDefault="00000000" w:rsidRPr="00000000" w14:paraId="00000071">
            <w:pPr>
              <w:numPr>
                <w:ilvl w:val="2"/>
                <w:numId w:val="4"/>
              </w:numP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72">
            <w:pPr>
              <w:numPr>
                <w:ilvl w:val="2"/>
                <w:numId w:val="4"/>
              </w:numP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73">
            <w:pPr>
              <w:numPr>
                <w:ilvl w:val="2"/>
                <w:numId w:val="4"/>
              </w:numP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5 </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Pricing Details)</w:t>
              <w:tab/>
              <w:t xml:space="preserve">           </w:t>
            </w:r>
          </w:p>
          <w:p w:rsidR="00000000" w:rsidDel="00000000" w:rsidP="00000000" w:rsidRDefault="00000000" w:rsidRPr="00000000" w14:paraId="00000074">
            <w:pPr>
              <w:numPr>
                <w:ilvl w:val="2"/>
                <w:numId w:val="4"/>
              </w:numP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7 (Key Supplier Staff)</w:t>
              <w:tab/>
              <w:tab/>
            </w:r>
          </w:p>
          <w:p w:rsidR="00000000" w:rsidDel="00000000" w:rsidP="00000000" w:rsidRDefault="00000000" w:rsidRPr="00000000" w14:paraId="00000075">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17 (MOD Terms) </w:t>
              <w:tab/>
              <w:tab/>
              <w:t xml:space="preserve">               </w:t>
            </w:r>
          </w:p>
          <w:p w:rsidR="00000000" w:rsidDel="00000000" w:rsidP="00000000" w:rsidRDefault="00000000" w:rsidRPr="00000000" w14:paraId="00000076">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19 (Scottish Law)</w:t>
              <w:tab/>
              <w:tab/>
              <w:t xml:space="preserve">      </w:t>
            </w:r>
          </w:p>
          <w:p w:rsidR="00000000" w:rsidDel="00000000" w:rsidP="00000000" w:rsidRDefault="00000000" w:rsidRPr="00000000" w14:paraId="00000077">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20 (Call-Off Specification)    </w:t>
            </w:r>
          </w:p>
          <w:p w:rsidR="00000000" w:rsidDel="00000000" w:rsidP="00000000" w:rsidRDefault="00000000" w:rsidRPr="00000000" w14:paraId="00000078">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21 (Northern Ireland Law)    </w:t>
            </w:r>
          </w:p>
          <w:p w:rsidR="00000000" w:rsidDel="00000000" w:rsidP="00000000" w:rsidRDefault="00000000" w:rsidRPr="00000000" w14:paraId="00000079">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23 (HMRC Terms)                 </w:t>
            </w:r>
          </w:p>
          <w:p w:rsidR="00000000" w:rsidDel="00000000" w:rsidP="00000000" w:rsidRDefault="00000000" w:rsidRPr="00000000" w14:paraId="0000007A">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7 (Call-Off Award Procedure)</w:t>
            </w:r>
          </w:p>
          <w:p w:rsidR="00000000" w:rsidDel="00000000" w:rsidP="00000000" w:rsidRDefault="00000000" w:rsidRPr="00000000" w14:paraId="0000007B">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8 (Self Audit Certificate)</w:t>
            </w:r>
          </w:p>
          <w:p w:rsidR="00000000" w:rsidDel="00000000" w:rsidP="00000000" w:rsidRDefault="00000000" w:rsidRPr="00000000" w14:paraId="0000007C">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9 (Cyber Essentials Scheme) </w:t>
            </w:r>
          </w:p>
          <w:p w:rsidR="00000000" w:rsidDel="00000000" w:rsidP="00000000" w:rsidRDefault="00000000" w:rsidRPr="00000000" w14:paraId="0000007D">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w:t>
            </w:r>
          </w:p>
          <w:p w:rsidR="00000000" w:rsidDel="00000000" w:rsidP="00000000" w:rsidRDefault="00000000" w:rsidRPr="00000000" w14:paraId="0000007E">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7F">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80">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6 (Key Subcontractors)</w:t>
            </w:r>
          </w:p>
          <w:p w:rsidR="00000000" w:rsidDel="00000000" w:rsidP="00000000" w:rsidRDefault="00000000" w:rsidRPr="00000000" w14:paraId="00000081">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7 (Financial Difficulties)</w:t>
            </w:r>
          </w:p>
          <w:p w:rsidR="00000000" w:rsidDel="00000000" w:rsidP="00000000" w:rsidRDefault="00000000" w:rsidRPr="00000000" w14:paraId="00000082">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8 (Guarantee)</w:t>
            </w:r>
          </w:p>
          <w:p w:rsidR="00000000" w:rsidDel="00000000" w:rsidP="00000000" w:rsidRDefault="00000000" w:rsidRPr="00000000" w14:paraId="00000083">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w:t>
            </w:r>
          </w:p>
          <w:p w:rsidR="00000000" w:rsidDel="00000000" w:rsidP="00000000" w:rsidRDefault="00000000" w:rsidRPr="00000000" w14:paraId="00000084">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12 (Supply Chain Visibility)</w:t>
            </w:r>
          </w:p>
          <w:p w:rsidR="00000000" w:rsidDel="00000000" w:rsidP="00000000" w:rsidRDefault="00000000" w:rsidRPr="00000000" w14:paraId="00000085">
            <w:pPr>
              <w:numPr>
                <w:ilvl w:val="0"/>
                <w:numId w:val="4"/>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86">
            <w:pPr>
              <w:numPr>
                <w:ilvl w:val="0"/>
                <w:numId w:val="4"/>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w:t>
            </w:r>
          </w:p>
          <w:p w:rsidR="00000000" w:rsidDel="00000000" w:rsidP="00000000" w:rsidRDefault="00000000" w:rsidRPr="00000000" w14:paraId="00000087">
            <w:pPr>
              <w:numPr>
                <w:ilvl w:val="0"/>
                <w:numId w:val="4"/>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2 (Framework Tender) as long as any part of the Framework Tender that offers a better commercial position for CCS or Buyers (as decided by CCS) take precedence over the documents above </w:t>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940" w:hRule="atLeast"/>
          <w:tblHeader w:val="0"/>
        </w:trPr>
        <w:tc>
          <w:tcPr/>
          <w:p w:rsidR="00000000" w:rsidDel="00000000" w:rsidP="00000000" w:rsidRDefault="00000000" w:rsidRPr="00000000" w14:paraId="00000089">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8D">
            <w:pPr>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N/A</w:t>
            </w:r>
            <w:r w:rsidDel="00000000" w:rsidR="00000000" w:rsidRPr="00000000">
              <w:rPr>
                <w:rtl w:val="0"/>
              </w:rPr>
            </w:r>
          </w:p>
        </w:tc>
      </w:tr>
      <w:tr>
        <w:trPr>
          <w:cantSplit w:val="0"/>
          <w:trHeight w:val="55" w:hRule="atLeast"/>
          <w:tblHeader w:val="0"/>
        </w:trPr>
        <w:tc>
          <w:tcPr/>
          <w:p w:rsidR="00000000" w:rsidDel="00000000" w:rsidP="00000000" w:rsidRDefault="00000000" w:rsidRPr="00000000" w14:paraId="0000008E">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 </w:t>
            </w:r>
          </w:p>
        </w:tc>
        <w:tc>
          <w:tcPr/>
          <w:p w:rsidR="00000000" w:rsidDel="00000000" w:rsidP="00000000" w:rsidRDefault="00000000" w:rsidRPr="00000000" w14:paraId="00000090">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in Framework Schedule 3 (Framework Prices)</w:t>
            </w:r>
          </w:p>
        </w:tc>
      </w:tr>
      <w:tr>
        <w:trPr>
          <w:cantSplit w:val="0"/>
          <w:trHeight w:val="569" w:hRule="atLeast"/>
          <w:tblHeader w:val="0"/>
        </w:trPr>
        <w:tc>
          <w:tcPr/>
          <w:p w:rsidR="00000000" w:rsidDel="00000000" w:rsidP="00000000" w:rsidRDefault="00000000" w:rsidRPr="00000000" w14:paraId="00000091">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Insurance</w:t>
            </w:r>
          </w:p>
        </w:tc>
        <w:tc>
          <w:tcPr>
            <w:shd w:fill="auto" w:val="clear"/>
          </w:tcPr>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Details in Annex of Joint Schedule 3 (Insurance Requirements).</w:t>
            </w:r>
            <w:r w:rsidDel="00000000" w:rsidR="00000000" w:rsidRPr="00000000">
              <w:rPr>
                <w:rtl w:val="0"/>
              </w:rPr>
            </w:r>
          </w:p>
        </w:tc>
      </w:tr>
      <w:tr>
        <w:trPr>
          <w:cantSplit w:val="0"/>
          <w:trHeight w:val="939" w:hRule="atLeast"/>
          <w:tblHeader w:val="0"/>
        </w:trPr>
        <w:tc>
          <w:tcPr/>
          <w:p w:rsidR="00000000" w:rsidDel="00000000" w:rsidP="00000000" w:rsidRDefault="00000000" w:rsidRPr="00000000" w14:paraId="00000094">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w:t>
            </w:r>
          </w:p>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Essentials Certification</w:t>
            </w:r>
          </w:p>
        </w:tc>
        <w:tc>
          <w:tcPr/>
          <w:p w:rsidR="00000000" w:rsidDel="00000000" w:rsidP="00000000" w:rsidRDefault="00000000" w:rsidRPr="00000000" w14:paraId="00000097">
            <w:pPr>
              <w:numPr>
                <w:ilvl w:val="0"/>
                <w:numId w:val="1"/>
              </w:numPr>
              <w:pBdr>
                <w:top w:space="0" w:sz="0" w:val="nil"/>
                <w:left w:space="0" w:sz="0" w:val="nil"/>
                <w:bottom w:space="0" w:sz="0" w:val="nil"/>
                <w:right w:space="0" w:sz="0" w:val="nil"/>
                <w:between w:space="0" w:sz="0" w:val="nil"/>
              </w:pBdr>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Cyber Essentials Scheme Plus Certificate (or equivalent). Details in Framework Schedule F9 (Cyber Essentials Scheme)</w:t>
            </w:r>
          </w:p>
        </w:tc>
      </w:tr>
      <w:tr>
        <w:trPr>
          <w:cantSplit w:val="0"/>
          <w:trHeight w:val="731" w:hRule="atLeast"/>
          <w:tblHeader w:val="0"/>
        </w:trPr>
        <w:tc>
          <w:tcPr/>
          <w:p w:rsidR="00000000" w:rsidDel="00000000" w:rsidP="00000000" w:rsidRDefault="00000000" w:rsidRPr="00000000" w14:paraId="00000098">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9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09A">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pay, excluding VAT, 1% of all the Charges for the Deliverables invoiced to the Buyer under all Call-Off Contracts.</w:t>
            </w:r>
          </w:p>
        </w:tc>
      </w:tr>
      <w:tr>
        <w:trPr>
          <w:cantSplit w:val="0"/>
          <w:trHeight w:val="1333" w:hRule="atLeast"/>
          <w:tblHeader w:val="0"/>
        </w:trPr>
        <w:tc>
          <w:tcPr/>
          <w:p w:rsidR="00000000" w:rsidDel="00000000" w:rsidP="00000000" w:rsidRDefault="00000000" w:rsidRPr="00000000" w14:paraId="0000009B">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Manager</w:t>
            </w:r>
          </w:p>
        </w:tc>
        <w:tc>
          <w:tcPr/>
          <w:p w:rsidR="00000000" w:rsidDel="00000000" w:rsidP="00000000" w:rsidRDefault="00000000" w:rsidRPr="00000000" w14:paraId="0000009F">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0A0">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0A1">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0A2">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tc>
      </w:tr>
      <w:tr>
        <w:trPr>
          <w:cantSplit w:val="0"/>
          <w:trHeight w:val="1333" w:hRule="atLeast"/>
          <w:tblHeader w:val="0"/>
        </w:trPr>
        <w:tc>
          <w:tcPr/>
          <w:p w:rsidR="00000000" w:rsidDel="00000000" w:rsidP="00000000" w:rsidRDefault="00000000" w:rsidRPr="00000000" w14:paraId="000000A3">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A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Representative</w:t>
            </w:r>
          </w:p>
        </w:tc>
        <w:tc>
          <w:tcPr/>
          <w:p w:rsidR="00000000" w:rsidDel="00000000" w:rsidP="00000000" w:rsidRDefault="00000000" w:rsidRPr="00000000" w14:paraId="000000A7">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0A8">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0A9">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0AA">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tc>
      </w:tr>
      <w:tr>
        <w:trPr>
          <w:cantSplit w:val="0"/>
          <w:trHeight w:val="1333" w:hRule="atLeast"/>
          <w:tblHeader w:val="0"/>
        </w:trPr>
        <w:tc>
          <w:tcPr/>
          <w:p w:rsidR="00000000" w:rsidDel="00000000" w:rsidP="00000000" w:rsidRDefault="00000000" w:rsidRPr="00000000" w14:paraId="000000AB">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A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0" w:line="24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AE">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0AF">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0B0">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0B1">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tc>
      </w:tr>
      <w:tr>
        <w:trPr>
          <w:cantSplit w:val="0"/>
          <w:trHeight w:val="1333" w:hRule="atLeast"/>
          <w:tblHeader w:val="0"/>
        </w:trPr>
        <w:tc>
          <w:tcPr/>
          <w:p w:rsidR="00000000" w:rsidDel="00000000" w:rsidP="00000000" w:rsidRDefault="00000000" w:rsidRPr="00000000" w14:paraId="000000B2">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Data</w:t>
            </w:r>
          </w:p>
          <w:p w:rsidR="00000000" w:rsidDel="00000000" w:rsidP="00000000" w:rsidRDefault="00000000" w:rsidRPr="00000000" w14:paraId="000000B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Protection </w:t>
            </w:r>
          </w:p>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Officer</w:t>
            </w:r>
          </w:p>
        </w:tc>
        <w:tc>
          <w:tcPr/>
          <w:p w:rsidR="00000000" w:rsidDel="00000000" w:rsidP="00000000" w:rsidRDefault="00000000" w:rsidRPr="00000000" w14:paraId="000000B6">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0B7">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0B8">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0B9">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tc>
      </w:tr>
      <w:tr>
        <w:trPr>
          <w:cantSplit w:val="0"/>
          <w:trHeight w:val="1333" w:hRule="atLeast"/>
          <w:tblHeader w:val="0"/>
        </w:trPr>
        <w:tc>
          <w:tcPr/>
          <w:p w:rsidR="00000000" w:rsidDel="00000000" w:rsidP="00000000" w:rsidRDefault="00000000" w:rsidRPr="00000000" w14:paraId="000000BA">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w:t>
            </w:r>
          </w:p>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Liability Cap</w:t>
            </w:r>
          </w:p>
        </w:tc>
        <w:tc>
          <w:tcPr/>
          <w:p w:rsidR="00000000" w:rsidDel="00000000" w:rsidP="00000000" w:rsidRDefault="00000000" w:rsidRPr="00000000" w14:paraId="000000BD">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£10,000,000</w:t>
            </w:r>
          </w:p>
        </w:tc>
      </w:tr>
      <w:tr>
        <w:trPr>
          <w:cantSplit w:val="0"/>
          <w:trHeight w:val="1333" w:hRule="atLeast"/>
          <w:tblHeader w:val="0"/>
        </w:trPr>
        <w:tc>
          <w:tcPr/>
          <w:p w:rsidR="00000000" w:rsidDel="00000000" w:rsidP="00000000" w:rsidRDefault="00000000" w:rsidRPr="00000000" w14:paraId="000000BE">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Marketing Contact</w:t>
            </w:r>
          </w:p>
        </w:tc>
        <w:tc>
          <w:tcPr/>
          <w:p w:rsidR="00000000" w:rsidDel="00000000" w:rsidP="00000000" w:rsidRDefault="00000000" w:rsidRPr="00000000" w14:paraId="000000C1">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0C2">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0C3">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0C4">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tc>
      </w:tr>
      <w:tr>
        <w:trPr>
          <w:cantSplit w:val="0"/>
          <w:trHeight w:val="1333" w:hRule="atLeast"/>
          <w:tblHeader w:val="0"/>
        </w:trPr>
        <w:tc>
          <w:tcPr/>
          <w:p w:rsidR="00000000" w:rsidDel="00000000" w:rsidP="00000000" w:rsidRDefault="00000000" w:rsidRPr="00000000" w14:paraId="000000C5">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w:t>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Subcontractors</w:t>
            </w:r>
          </w:p>
        </w:tc>
        <w:tc>
          <w:tcPr>
            <w:shd w:fill="auto" w:val="clear"/>
          </w:tcPr>
          <w:p w:rsidR="00000000" w:rsidDel="00000000" w:rsidP="00000000" w:rsidRDefault="00000000" w:rsidRPr="00000000" w14:paraId="000000C8">
            <w:pPr>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If Applicable - Please see embedded folder within the Framework Contract Documents folder’.</w:t>
            </w:r>
          </w:p>
          <w:p w:rsidR="00000000" w:rsidDel="00000000" w:rsidP="00000000" w:rsidRDefault="00000000" w:rsidRPr="00000000" w14:paraId="000000C9">
            <w:pPr>
              <w:spacing w:after="120" w:before="120" w:lineRule="auto"/>
              <w:rPr>
                <w:rFonts w:ascii="Arial" w:cs="Arial" w:eastAsia="Arial" w:hAnsi="Arial"/>
                <w:b w:val="1"/>
                <w:color w:val="000000"/>
                <w:sz w:val="24"/>
                <w:szCs w:val="24"/>
              </w:rPr>
            </w:pP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CA">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0CD">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0CE">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0CF">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0D0">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tc>
      </w:tr>
    </w:tbl>
    <w:p w:rsidR="00000000" w:rsidDel="00000000" w:rsidP="00000000" w:rsidRDefault="00000000" w:rsidRPr="00000000" w14:paraId="000000D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2">
      <w:pPr>
        <w:rPr>
          <w:rFonts w:ascii="Arial" w:cs="Arial" w:eastAsia="Arial" w:hAnsi="Arial"/>
          <w:sz w:val="24"/>
          <w:szCs w:val="24"/>
        </w:rPr>
      </w:pPr>
      <w:r w:rsidDel="00000000" w:rsidR="00000000" w:rsidRPr="00000000">
        <w:rPr>
          <w:rtl w:val="0"/>
        </w:rPr>
      </w:r>
    </w:p>
    <w:tbl>
      <w:tblPr>
        <w:tblStyle w:val="Table3"/>
        <w:tblW w:w="9170.000000000002" w:type="dxa"/>
        <w:jc w:val="left"/>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1526"/>
        <w:gridCol w:w="2980"/>
        <w:gridCol w:w="1698"/>
        <w:gridCol w:w="2966"/>
        <w:tblGridChange w:id="0">
          <w:tblGrid>
            <w:gridCol w:w="1526"/>
            <w:gridCol w:w="2980"/>
            <w:gridCol w:w="1698"/>
            <w:gridCol w:w="2966"/>
          </w:tblGrid>
        </w:tblGridChange>
      </w:tblGrid>
      <w:tr>
        <w:trPr>
          <w:cantSplit w:val="0"/>
          <w:trHeight w:val="635" w:hRule="atLeast"/>
          <w:tblHeader w:val="0"/>
        </w:trPr>
        <w:tc>
          <w:tcPr>
            <w:gridSpan w:val="2"/>
          </w:tcPr>
          <w:p w:rsidR="00000000" w:rsidDel="00000000" w:rsidP="00000000" w:rsidRDefault="00000000" w:rsidRPr="00000000" w14:paraId="000000D3">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D5">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CCS:</w:t>
            </w:r>
          </w:p>
        </w:tc>
      </w:tr>
      <w:tr>
        <w:trPr>
          <w:cantSplit w:val="0"/>
          <w:trHeight w:val="635" w:hRule="atLeast"/>
          <w:tblHeader w:val="0"/>
        </w:trPr>
        <w:tc>
          <w:tcPr/>
          <w:p w:rsidR="00000000" w:rsidDel="00000000" w:rsidP="00000000" w:rsidRDefault="00000000" w:rsidRPr="00000000" w14:paraId="000000D7">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D8">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r w:rsidDel="00000000" w:rsidR="00000000" w:rsidRPr="00000000">
              <w:rPr>
                <w:rtl w:val="0"/>
              </w:rPr>
            </w:r>
          </w:p>
        </w:tc>
        <w:tc>
          <w:tcPr/>
          <w:p w:rsidR="00000000" w:rsidDel="00000000" w:rsidP="00000000" w:rsidRDefault="00000000" w:rsidRPr="00000000" w14:paraId="000000D9">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DA">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DB">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DC">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r w:rsidDel="00000000" w:rsidR="00000000" w:rsidRPr="00000000">
              <w:rPr>
                <w:rtl w:val="0"/>
              </w:rPr>
            </w:r>
          </w:p>
        </w:tc>
        <w:tc>
          <w:tcPr/>
          <w:p w:rsidR="00000000" w:rsidDel="00000000" w:rsidP="00000000" w:rsidRDefault="00000000" w:rsidRPr="00000000" w14:paraId="000000DD">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DE">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DF">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E0">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r w:rsidDel="00000000" w:rsidR="00000000" w:rsidRPr="00000000">
              <w:rPr>
                <w:rtl w:val="0"/>
              </w:rPr>
            </w:r>
          </w:p>
        </w:tc>
        <w:tc>
          <w:tcPr/>
          <w:p w:rsidR="00000000" w:rsidDel="00000000" w:rsidP="00000000" w:rsidRDefault="00000000" w:rsidRPr="00000000" w14:paraId="000000E1">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E2">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E3">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E4">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[Date]</w:t>
            </w:r>
          </w:p>
        </w:tc>
        <w:tc>
          <w:tcPr/>
          <w:p w:rsidR="00000000" w:rsidDel="00000000" w:rsidP="00000000" w:rsidRDefault="00000000" w:rsidRPr="00000000" w14:paraId="000000E5">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E6">
            <w:pPr>
              <w:keepNext w:val="1"/>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[Date]</w:t>
            </w:r>
            <w:r w:rsidDel="00000000" w:rsidR="00000000" w:rsidRPr="00000000">
              <w:rPr>
                <w:rtl w:val="0"/>
              </w:rPr>
            </w:r>
          </w:p>
        </w:tc>
      </w:tr>
    </w:tbl>
    <w:bookmarkStart w:colFirst="0" w:colLast="0" w:name="bookmark=id.30j0zll" w:id="2"/>
    <w:bookmarkEnd w:id="2"/>
    <w:p w:rsidR="00000000" w:rsidDel="00000000" w:rsidP="00000000" w:rsidRDefault="00000000" w:rsidRPr="00000000" w14:paraId="000000E7">
      <w:pPr>
        <w:pBdr>
          <w:top w:space="0" w:sz="0" w:val="nil"/>
          <w:left w:space="0" w:sz="0" w:val="nil"/>
          <w:bottom w:space="0" w:sz="0" w:val="nil"/>
          <w:right w:space="0" w:sz="0" w:val="nil"/>
          <w:between w:space="0" w:sz="0" w:val="nil"/>
        </w:pBdr>
        <w:ind w:left="792" w:firstLine="0"/>
        <w:rPr>
          <w:rFonts w:ascii="Arial" w:cs="Arial" w:eastAsia="Arial" w:hAnsi="Arial"/>
          <w:i w:val="1"/>
          <w:color w:val="000000"/>
        </w:rPr>
      </w:pPr>
      <w:r w:rsidDel="00000000" w:rsidR="00000000" w:rsidRPr="00000000">
        <w:rPr>
          <w:rtl w:val="0"/>
        </w:rPr>
      </w:r>
    </w:p>
    <w:sectPr>
      <w:type w:val="nextPage"/>
      <w:pgSz w:h="16838" w:w="11906"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D">
    <w:pPr>
      <w:tabs>
        <w:tab w:val="center" w:leader="none" w:pos="4513"/>
        <w:tab w:val="right" w:leader="none" w:pos="9026"/>
      </w:tabs>
      <w:spacing w:after="0" w:lineRule="auto"/>
      <w:rPr>
        <w:color w:val="a6a6a6"/>
      </w:rPr>
    </w:pPr>
    <w:r w:rsidDel="00000000" w:rsidR="00000000" w:rsidRPr="00000000">
      <w:rPr>
        <w:rtl w:val="0"/>
      </w:rPr>
    </w:r>
  </w:p>
  <w:p w:rsidR="00000000" w:rsidDel="00000000" w:rsidP="00000000" w:rsidRDefault="00000000" w:rsidRPr="00000000" w14:paraId="000000EE">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RM6302</w:t>
      <w:tab/>
      <w:t xml:space="preserve">                                           </w:t>
    </w:r>
  </w:p>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0">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v3.11</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1">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F2">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4">
    <w:pPr>
      <w:spacing w:after="0" w:line="240" w:lineRule="auto"/>
      <w:jc w:val="both"/>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Framework Award Form</w:t>
    </w:r>
  </w:p>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Crown Copyright 2023</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a6a6a6"/>
        <w:sz w:val="20"/>
        <w:szCs w:val="20"/>
      </w:rPr>
    </w:pPr>
    <w:r w:rsidDel="00000000" w:rsidR="00000000" w:rsidRPr="00000000">
      <w:rPr>
        <w:rFonts w:ascii="Arial" w:cs="Arial" w:eastAsia="Arial" w:hAnsi="Arial"/>
        <w:b w:val="1"/>
        <w:color w:val="a6a6a6"/>
        <w:sz w:val="20"/>
        <w:szCs w:val="20"/>
        <w:rtl w:val="0"/>
      </w:rPr>
      <w:t xml:space="preserve">Framework Award Form</w:t>
    </w:r>
  </w:p>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Crown Copyright 2018</w:t>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1."/>
      <w:lvlJc w:val="left"/>
      <w:pPr>
        <w:ind w:left="644" w:hanging="357.99999999999983"/>
      </w:pPr>
      <w:rPr>
        <w:b w:val="1"/>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abstractNum w:abstractNumId="3">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430" w:hanging="360"/>
      </w:pPr>
      <w:rPr>
        <w:rFonts w:ascii="Courier New" w:cs="Courier New" w:eastAsia="Courier New" w:hAnsi="Courier New"/>
      </w:rPr>
    </w:lvl>
    <w:lvl w:ilvl="2">
      <w:start w:val="1"/>
      <w:numFmt w:val="bullet"/>
      <w:lvlText w:val="▪"/>
      <w:lvlJc w:val="left"/>
      <w:pPr>
        <w:ind w:left="3150" w:hanging="360"/>
      </w:pPr>
      <w:rPr>
        <w:rFonts w:ascii="Noto Sans Symbols" w:cs="Noto Sans Symbols" w:eastAsia="Noto Sans Symbols" w:hAnsi="Noto Sans Symbols"/>
      </w:rPr>
    </w:lvl>
    <w:lvl w:ilvl="3">
      <w:start w:val="1"/>
      <w:numFmt w:val="bullet"/>
      <w:lvlText w:val="●"/>
      <w:lvlJc w:val="left"/>
      <w:pPr>
        <w:ind w:left="3870" w:hanging="360"/>
      </w:pPr>
      <w:rPr>
        <w:rFonts w:ascii="Noto Sans Symbols" w:cs="Noto Sans Symbols" w:eastAsia="Noto Sans Symbols" w:hAnsi="Noto Sans Symbols"/>
      </w:rPr>
    </w:lvl>
    <w:lvl w:ilvl="4">
      <w:start w:val="1"/>
      <w:numFmt w:val="bullet"/>
      <w:lvlText w:val="o"/>
      <w:lvlJc w:val="left"/>
      <w:pPr>
        <w:ind w:left="4590" w:hanging="360"/>
      </w:pPr>
      <w:rPr>
        <w:rFonts w:ascii="Courier New" w:cs="Courier New" w:eastAsia="Courier New" w:hAnsi="Courier New"/>
      </w:rPr>
    </w:lvl>
    <w:lvl w:ilvl="5">
      <w:start w:val="1"/>
      <w:numFmt w:val="bullet"/>
      <w:lvlText w:val="▪"/>
      <w:lvlJc w:val="left"/>
      <w:pPr>
        <w:ind w:left="5310" w:hanging="360"/>
      </w:pPr>
      <w:rPr>
        <w:rFonts w:ascii="Noto Sans Symbols" w:cs="Noto Sans Symbols" w:eastAsia="Noto Sans Symbols" w:hAnsi="Noto Sans Symbols"/>
      </w:rPr>
    </w:lvl>
    <w:lvl w:ilvl="6">
      <w:start w:val="1"/>
      <w:numFmt w:val="bullet"/>
      <w:lvlText w:val="●"/>
      <w:lvlJc w:val="left"/>
      <w:pPr>
        <w:ind w:left="6030" w:hanging="360"/>
      </w:pPr>
      <w:rPr>
        <w:rFonts w:ascii="Noto Sans Symbols" w:cs="Noto Sans Symbols" w:eastAsia="Noto Sans Symbols" w:hAnsi="Noto Sans Symbols"/>
      </w:rPr>
    </w:lvl>
    <w:lvl w:ilvl="7">
      <w:start w:val="1"/>
      <w:numFmt w:val="bullet"/>
      <w:lvlText w:val="o"/>
      <w:lvlJc w:val="left"/>
      <w:pPr>
        <w:ind w:left="6750" w:hanging="360"/>
      </w:pPr>
      <w:rPr>
        <w:rFonts w:ascii="Courier New" w:cs="Courier New" w:eastAsia="Courier New" w:hAnsi="Courier New"/>
      </w:rPr>
    </w:lvl>
    <w:lvl w:ilvl="8">
      <w:start w:val="1"/>
      <w:numFmt w:val="bullet"/>
      <w:lvlText w:val="▪"/>
      <w:lvlJc w:val="left"/>
      <w:pPr>
        <w:ind w:left="7470" w:hanging="360"/>
      </w:pPr>
      <w:rPr>
        <w:rFonts w:ascii="Noto Sans Symbols" w:cs="Noto Sans Symbols" w:eastAsia="Noto Sans Symbols" w:hAnsi="Noto Sans Symbols"/>
      </w:rPr>
    </w:lvl>
  </w:abstractNum>
  <w:abstractNum w:abstractNumId="4">
    <w:lvl w:ilvl="0">
      <w:start w:val="1"/>
      <w:numFmt w:val="decimal"/>
      <w:lvlText w:val="%1."/>
      <w:lvlJc w:val="left"/>
      <w:pPr>
        <w:ind w:left="45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3600" w:hanging="360"/>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3600"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3600" w:hanging="360"/>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3600"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suppressAutoHyphens w:val="1"/>
    </w:pPr>
    <w:rPr>
      <w:lang w:eastAsia="en-US"/>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uiPriority w:val="9"/>
    <w:semiHidden w:val="1"/>
    <w:unhideWhenUsed w:val="1"/>
    <w:qFormat w:val="1"/>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uiPriority w:val="9"/>
    <w:semiHidden w:val="1"/>
    <w:unhideWhenUsed w:val="1"/>
    <w:qFormat w:val="1"/>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numbering" w:styleId="WWOutlineListStyle8" w:customStyle="1">
    <w:name w:val="WW_OutlineListStyle_8"/>
    <w:basedOn w:val="NoList"/>
  </w:style>
  <w:style w:type="paragraph" w:styleId="Level1Heading" w:customStyle="1">
    <w:name w:val="Level 1 Heading"/>
    <w:basedOn w:val="BodyText"/>
    <w:next w:val="Normal"/>
    <w:pPr>
      <w:keepNext w:val="1"/>
      <w:tabs>
        <w:tab w:val="left" w:pos="-1342"/>
      </w:tabs>
      <w:suppressAutoHyphens w:val="0"/>
      <w:spacing w:after="200" w:before="360" w:line="360" w:lineRule="auto"/>
      <w:outlineLvl w:val="0"/>
    </w:pPr>
    <w:rPr>
      <w:rFonts w:ascii="Arial" w:eastAsia="Times New Roman" w:hAnsi="Arial"/>
      <w:b w:val="1"/>
      <w:szCs w:val="20"/>
    </w:rPr>
  </w:style>
  <w:style w:type="paragraph" w:styleId="GPSL1CLAUSEHEADING" w:customStyle="1">
    <w:name w:val="GPS L1 CLAUSE HEADING"/>
    <w:basedOn w:val="Normal"/>
    <w:next w:val="Normal"/>
    <w:qFormat w:val="1"/>
    <w:pPr>
      <w:tabs>
        <w:tab w:val="left" w:pos="-3864"/>
      </w:tabs>
      <w:suppressAutoHyphens w:val="0"/>
      <w:spacing w:after="240" w:before="240" w:line="240" w:lineRule="auto"/>
      <w:jc w:val="both"/>
      <w:outlineLvl w:val="1"/>
    </w:pPr>
    <w:rPr>
      <w:rFonts w:ascii="Arial Bold" w:cs="Arial" w:eastAsia="STZhongsong" w:hAnsi="Arial Bold"/>
      <w:b w:val="1"/>
      <w:caps w:val="1"/>
      <w:lang w:eastAsia="zh-CN"/>
    </w:rPr>
  </w:style>
  <w:style w:type="character" w:styleId="Heading5Char" w:customStyle="1">
    <w:name w:val="Heading 5 Char"/>
    <w:basedOn w:val="DefaultParagraphFont"/>
    <w:rPr>
      <w:rFonts w:ascii="Arial" w:eastAsia="Times New Roman" w:hAnsi="Arial"/>
      <w:sz w:val="22"/>
      <w:szCs w:val="22"/>
      <w:lang w:eastAsia="en-US"/>
    </w:rPr>
  </w:style>
  <w:style w:type="character" w:styleId="Heading6Char" w:customStyle="1">
    <w:name w:val="Heading 6 Char"/>
    <w:basedOn w:val="DefaultParagraphFont"/>
    <w:rPr>
      <w:rFonts w:ascii="Arial" w:eastAsia="Times New Roman" w:hAnsi="Arial"/>
      <w:sz w:val="22"/>
      <w:szCs w:val="22"/>
      <w:lang w:eastAsia="en-US"/>
    </w:rPr>
  </w:style>
  <w:style w:type="paragraph" w:styleId="GPSL2NumberedBoldHeading" w:customStyle="1">
    <w:name w:val="GPS L2 Numbered Bold Heading"/>
    <w:basedOn w:val="Normal"/>
    <w:qFormat w:val="1"/>
    <w:pPr>
      <w:tabs>
        <w:tab w:val="left" w:pos="1134"/>
      </w:tabs>
      <w:suppressAutoHyphens w:val="0"/>
      <w:spacing w:after="120" w:before="120" w:line="240" w:lineRule="auto"/>
      <w:ind w:left="1494" w:hanging="218"/>
      <w:jc w:val="both"/>
    </w:pPr>
    <w:rPr>
      <w:rFonts w:cs="Arial" w:eastAsia="Times New Roman"/>
      <w:b w:val="1"/>
      <w:lang w:eastAsia="zh-CN"/>
    </w:rPr>
  </w:style>
  <w:style w:type="paragraph" w:styleId="BodyText1" w:customStyle="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val="1"/>
      <w:iCs w:val="1"/>
    </w:rPr>
  </w:style>
  <w:style w:type="paragraph" w:styleId="11table" w:customStyle="1">
    <w:name w:val="1.1 table"/>
    <w:basedOn w:val="Normal"/>
    <w:qFormat w:val="1"/>
    <w:pPr>
      <w:numPr>
        <w:numId w:val="6"/>
      </w:numPr>
      <w:suppressAutoHyphens w:val="0"/>
      <w:spacing w:after="0" w:line="240" w:lineRule="auto"/>
    </w:pPr>
    <w:rPr>
      <w:rFonts w:eastAsia="STZhongsong"/>
      <w:b w:val="1"/>
      <w:lang w:eastAsia="zh-CN"/>
    </w:rPr>
  </w:style>
  <w:style w:type="character" w:styleId="11tableChar" w:customStyle="1">
    <w:name w:val="1.1 table Char"/>
    <w:rPr>
      <w:rFonts w:eastAsia="STZhongsong"/>
      <w:b w:val="1"/>
      <w:sz w:val="22"/>
      <w:szCs w:val="22"/>
      <w:lang w:eastAsia="zh-CN"/>
    </w:rPr>
  </w:style>
  <w:style w:type="paragraph" w:styleId="BalloonText">
    <w:name w:val="Balloon Text"/>
    <w:basedOn w:val="Normal"/>
    <w:pPr>
      <w:spacing w:after="0" w:line="240" w:lineRule="auto"/>
    </w:pPr>
    <w:rPr>
      <w:rFonts w:ascii="Tahoma" w:cs="Tahoma" w:hAnsi="Tahoma"/>
      <w:sz w:val="16"/>
      <w:szCs w:val="16"/>
    </w:rPr>
  </w:style>
  <w:style w:type="character" w:styleId="BalloonTextChar" w:customStyle="1">
    <w:name w:val="Balloon Text Char"/>
    <w:basedOn w:val="DefaultParagraphFont"/>
    <w:rPr>
      <w:rFonts w:ascii="Tahoma" w:cs="Tahoma" w:hAnsi="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styleId="HeaderChar" w:customStyle="1">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styleId="FooterChar" w:customStyle="1">
    <w:name w:val="Footer Char"/>
    <w:basedOn w:val="DefaultParagraphFont"/>
    <w:uiPriority w:val="99"/>
    <w:rPr>
      <w:sz w:val="22"/>
      <w:szCs w:val="22"/>
      <w:lang w:eastAsia="en-US"/>
    </w:rPr>
  </w:style>
  <w:style w:type="paragraph" w:styleId="MarginText" w:customStyle="1">
    <w:name w:val="Margin Text"/>
    <w:basedOn w:val="Normal"/>
    <w:pPr>
      <w:keepNext w:val="1"/>
      <w:suppressAutoHyphens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rPr>
      <w:rFonts w:ascii="Arial" w:eastAsia="STZhongsong" w:hAnsi="Arial"/>
      <w:sz w:val="18"/>
      <w:szCs w:val="18"/>
      <w:lang w:eastAsia="zh-CN"/>
    </w:rPr>
  </w:style>
  <w:style w:type="paragraph" w:styleId="GPSL2numberedclause" w:customStyle="1">
    <w:name w:val="GPS L2 numbered clause"/>
    <w:basedOn w:val="Normal"/>
    <w:qFormat w:val="1"/>
    <w:pPr>
      <w:tabs>
        <w:tab w:val="left" w:pos="1134"/>
      </w:tabs>
      <w:suppressAutoHyphens w:val="0"/>
      <w:spacing w:after="120" w:before="120" w:line="240" w:lineRule="auto"/>
      <w:ind w:left="1134" w:hanging="567"/>
      <w:jc w:val="both"/>
    </w:pPr>
    <w:rPr>
      <w:rFonts w:cs="Arial" w:eastAsia="Times New Roman"/>
      <w:lang w:eastAsia="zh-CN"/>
    </w:rPr>
  </w:style>
  <w:style w:type="paragraph" w:styleId="GPSL3numberedclause" w:customStyle="1">
    <w:name w:val="GPS L3 numbered clause"/>
    <w:basedOn w:val="GPSL2numberedclause"/>
    <w:qFormat w:val="1"/>
    <w:pPr>
      <w:tabs>
        <w:tab w:val="clear" w:pos="1134"/>
        <w:tab w:val="left" w:pos="1985"/>
        <w:tab w:val="left" w:pos="2127"/>
      </w:tabs>
      <w:ind w:left="1985" w:hanging="851"/>
    </w:pPr>
  </w:style>
  <w:style w:type="paragraph" w:styleId="GPSL4numberedclause" w:customStyle="1">
    <w:name w:val="GPS L4 numbered clause"/>
    <w:basedOn w:val="GPSL3numberedclause"/>
    <w:qFormat w:val="1"/>
    <w:pPr>
      <w:tabs>
        <w:tab w:val="clear" w:pos="2127"/>
      </w:tabs>
      <w:ind w:left="2835" w:hanging="708"/>
    </w:pPr>
    <w:rPr>
      <w:szCs w:val="20"/>
    </w:rPr>
  </w:style>
  <w:style w:type="character" w:styleId="GPSL2numberedclauseChar1" w:customStyle="1">
    <w:name w:val="GPS L2 numbered clause Char1"/>
    <w:rPr>
      <w:rFonts w:cs="Arial" w:eastAsia="Times New Roman"/>
      <w:sz w:val="22"/>
      <w:szCs w:val="22"/>
      <w:lang w:eastAsia="zh-CN"/>
    </w:rPr>
  </w:style>
  <w:style w:type="character" w:styleId="GPSL3numberedclauseChar" w:customStyle="1">
    <w:name w:val="GPS L3 numbered clause Char"/>
    <w:rPr>
      <w:rFonts w:cs="Arial" w:eastAsia="Times New Roman"/>
      <w:sz w:val="22"/>
      <w:szCs w:val="22"/>
      <w:lang w:eastAsia="zh-CN"/>
    </w:rPr>
  </w:style>
  <w:style w:type="paragraph" w:styleId="GPSL5numberedclause" w:customStyle="1">
    <w:name w:val="GPS L5 numbered clause"/>
    <w:basedOn w:val="GPSL4numberedclause"/>
    <w:qFormat w:val="1"/>
    <w:pPr>
      <w:tabs>
        <w:tab w:val="left" w:pos="3402"/>
      </w:tabs>
      <w:ind w:left="3402" w:hanging="567"/>
    </w:pPr>
  </w:style>
  <w:style w:type="paragraph" w:styleId="GPSL6numbered" w:customStyle="1">
    <w:name w:val="GPS L6 numbered"/>
    <w:basedOn w:val="GPSL5numberedclause"/>
    <w:qFormat w:val="1"/>
    <w:pPr>
      <w:tabs>
        <w:tab w:val="clear" w:pos="1985"/>
        <w:tab w:val="clear" w:pos="3402"/>
        <w:tab w:val="num" w:pos="720"/>
        <w:tab w:val="left" w:pos="24049"/>
        <w:tab w:val="left" w:pos="25466"/>
        <w:tab w:val="left" w:pos="26317"/>
      </w:tabs>
      <w:ind w:left="720" w:hanging="720"/>
    </w:pPr>
  </w:style>
  <w:style w:type="paragraph" w:styleId="Style1" w:customStyle="1">
    <w:name w:val="Style1"/>
    <w:basedOn w:val="ListParagraph"/>
    <w:pPr>
      <w:tabs>
        <w:tab w:val="num" w:pos="720"/>
      </w:tabs>
      <w:ind w:hanging="720"/>
    </w:pPr>
    <w:rPr>
      <w:b w:val="1"/>
      <w:sz w:val="20"/>
    </w:rPr>
  </w:style>
  <w:style w:type="character" w:styleId="ListParagraphChar" w:customStyle="1">
    <w:name w:val="List Paragraph Char"/>
    <w:basedOn w:val="DefaultParagraphFont"/>
    <w:rPr>
      <w:sz w:val="22"/>
      <w:szCs w:val="22"/>
      <w:lang w:eastAsia="en-US"/>
    </w:rPr>
  </w:style>
  <w:style w:type="character" w:styleId="Style1Char" w:customStyle="1">
    <w:name w:val="Style1 Char"/>
    <w:basedOn w:val="ListParagraphChar"/>
    <w:rPr>
      <w:b w:val="1"/>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styleId="CommentTextChar" w:customStyle="1">
    <w:name w:val="Comment Text Char"/>
    <w:basedOn w:val="DefaultParagraphFont"/>
    <w:rPr>
      <w:lang w:eastAsia="en-US"/>
    </w:rPr>
  </w:style>
  <w:style w:type="paragraph" w:styleId="CommentSubject">
    <w:name w:val="annotation subject"/>
    <w:basedOn w:val="CommentText"/>
    <w:next w:val="CommentText"/>
    <w:rPr>
      <w:b w:val="1"/>
      <w:bCs w:val="1"/>
    </w:rPr>
  </w:style>
  <w:style w:type="character" w:styleId="CommentSubjectChar" w:customStyle="1">
    <w:name w:val="Comment Subject Char"/>
    <w:basedOn w:val="CommentTextChar"/>
    <w:rPr>
      <w:b w:val="1"/>
      <w:bCs w:val="1"/>
      <w:lang w:eastAsia="en-US"/>
    </w:rPr>
  </w:style>
  <w:style w:type="paragraph" w:styleId="Revision">
    <w:name w:val="Revision"/>
    <w:rPr>
      <w:lang w:eastAsia="en-US"/>
    </w:rPr>
  </w:style>
  <w:style w:type="paragraph" w:styleId="GPsDefinition" w:customStyle="1">
    <w:name w:val="GPs Definition"/>
    <w:basedOn w:val="Normal"/>
    <w:pPr>
      <w:tabs>
        <w:tab w:val="left" w:pos="-179"/>
      </w:tabs>
      <w:suppressAutoHyphens w:val="0"/>
      <w:overflowPunct w:val="0"/>
      <w:autoSpaceDE w:val="0"/>
      <w:spacing w:after="120" w:line="240" w:lineRule="auto"/>
      <w:jc w:val="both"/>
    </w:pPr>
    <w:rPr>
      <w:rFonts w:ascii="Arial" w:cs="Arial" w:eastAsia="Times New Roman" w:hAnsi="Arial"/>
    </w:rPr>
  </w:style>
  <w:style w:type="paragraph" w:styleId="GPSDefinitionL2" w:customStyle="1">
    <w:name w:val="GPS Definition L2"/>
    <w:basedOn w:val="GPsDefinition"/>
    <w:pPr>
      <w:tabs>
        <w:tab w:val="clear" w:pos="-179"/>
        <w:tab w:val="left" w:pos="-576"/>
      </w:tabs>
      <w:ind w:hanging="545"/>
    </w:pPr>
  </w:style>
  <w:style w:type="character" w:styleId="GPSDefinitionL2Char" w:customStyle="1">
    <w:name w:val="GPS Definition L2 Char"/>
    <w:rPr>
      <w:rFonts w:ascii="Arial" w:cs="Arial" w:eastAsia="Times New Roman" w:hAnsi="Arial"/>
      <w:sz w:val="22"/>
      <w:szCs w:val="22"/>
      <w:lang w:eastAsia="en-US"/>
    </w:rPr>
  </w:style>
  <w:style w:type="paragraph" w:styleId="GPSDefinitionL3" w:customStyle="1">
    <w:name w:val="GPS Definition L3"/>
    <w:basedOn w:val="GPSDefinitionL2"/>
  </w:style>
  <w:style w:type="paragraph" w:styleId="GPSDefinitionL4" w:customStyle="1">
    <w:name w:val="GPS Definition L4"/>
    <w:basedOn w:val="GPSDefinitionL3"/>
    <w:pPr>
      <w:tabs>
        <w:tab w:val="clear" w:pos="-576"/>
        <w:tab w:val="left" w:pos="-2316"/>
        <w:tab w:val="left" w:pos="-2100"/>
        <w:tab w:val="num" w:pos="720"/>
      </w:tabs>
      <w:ind w:left="720" w:hanging="720"/>
    </w:pPr>
  </w:style>
  <w:style w:type="character" w:styleId="GPSDefinitionL3Char" w:customStyle="1">
    <w:name w:val="GPS Definition L3 Char"/>
    <w:rPr>
      <w:rFonts w:ascii="Arial" w:cs="Arial" w:eastAsia="Times New Roman" w:hAnsi="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cs="Arial" w:eastAsia="Times New Roman" w:hAnsi="Arial"/>
      <w:sz w:val="20"/>
      <w:szCs w:val="20"/>
    </w:rPr>
  </w:style>
  <w:style w:type="character" w:styleId="FootnoteTextChar" w:customStyle="1">
    <w:name w:val="Footnote Text Char"/>
    <w:basedOn w:val="DefaultParagraphFont"/>
    <w:rPr>
      <w:rFonts w:ascii="Arial" w:cs="Arial" w:eastAsia="Times New Roman" w:hAnsi="Arial"/>
      <w:lang w:eastAsia="en-US"/>
    </w:rPr>
  </w:style>
  <w:style w:type="paragraph" w:styleId="BodyText">
    <w:name w:val="Body Text"/>
    <w:basedOn w:val="Normal"/>
    <w:pPr>
      <w:spacing w:after="120"/>
    </w:pPr>
  </w:style>
  <w:style w:type="character" w:styleId="BodyTextChar" w:customStyle="1">
    <w:name w:val="Body Text Char"/>
    <w:basedOn w:val="DefaultParagraphFont"/>
    <w:rPr>
      <w:sz w:val="22"/>
      <w:szCs w:val="22"/>
      <w:lang w:eastAsia="en-US"/>
    </w:rPr>
  </w:style>
  <w:style w:type="paragraph" w:styleId="Level2Heading" w:customStyle="1">
    <w:name w:val="Level 2 Heading"/>
    <w:basedOn w:val="BodyText"/>
    <w:next w:val="BodyText2"/>
    <w:pPr>
      <w:keepNext w:val="1"/>
      <w:tabs>
        <w:tab w:val="left" w:pos="360"/>
      </w:tabs>
      <w:suppressAutoHyphens w:val="0"/>
      <w:spacing w:after="200" w:before="360" w:line="360" w:lineRule="auto"/>
      <w:outlineLvl w:val="1"/>
    </w:pPr>
    <w:rPr>
      <w:rFonts w:ascii="Arial" w:eastAsia="Times New Roman" w:hAnsi="Arial"/>
      <w:b w:val="1"/>
      <w:sz w:val="20"/>
      <w:szCs w:val="20"/>
      <w:lang w:eastAsia="en-GB"/>
    </w:rPr>
  </w:style>
  <w:style w:type="paragraph" w:styleId="Level3Number" w:customStyle="1">
    <w:name w:val="Level 3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4Number" w:customStyle="1">
    <w:name w:val="Level 4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5Number" w:customStyle="1">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styleId="Level6Number" w:customStyle="1">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styleId="Level7Number" w:customStyle="1">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styleId="Level8Number" w:customStyle="1">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styleId="BodyText2Char" w:customStyle="1">
    <w:name w:val="Body Text 2 Char"/>
    <w:basedOn w:val="DefaultParagraphFont"/>
    <w:rPr>
      <w:sz w:val="22"/>
      <w:szCs w:val="22"/>
      <w:lang w:eastAsia="en-US"/>
    </w:rPr>
  </w:style>
  <w:style w:type="character" w:styleId="GPSL2NumberedBoldHeadingChar" w:customStyle="1">
    <w:name w:val="GPS L2 Numbered Bold Heading Char"/>
    <w:rPr>
      <w:rFonts w:cs="Arial" w:eastAsia="Times New Roman"/>
      <w:b w:val="1"/>
      <w:sz w:val="22"/>
      <w:szCs w:val="22"/>
      <w:lang w:eastAsia="zh-CN"/>
    </w:rPr>
  </w:style>
  <w:style w:type="paragraph" w:styleId="GPSL2Indent" w:customStyle="1">
    <w:name w:val="GPS L2 Indent"/>
    <w:basedOn w:val="Normal"/>
    <w:pPr>
      <w:tabs>
        <w:tab w:val="left" w:pos="3402"/>
      </w:tabs>
      <w:suppressAutoHyphens w:val="0"/>
      <w:overflowPunct w:val="0"/>
      <w:autoSpaceDE w:val="0"/>
      <w:spacing w:after="220" w:line="240" w:lineRule="auto"/>
      <w:ind w:left="1134"/>
      <w:jc w:val="both"/>
    </w:pPr>
    <w:rPr>
      <w:rFonts w:cs="Arial" w:eastAsia="Times New Roman"/>
      <w:szCs w:val="24"/>
    </w:rPr>
  </w:style>
  <w:style w:type="paragraph" w:styleId="GPSL2Numbered" w:customStyle="1">
    <w:name w:val="GPS L2 Numbered"/>
    <w:basedOn w:val="GPSL2NumberedBoldHeading"/>
    <w:qFormat w:val="1"/>
    <w:pPr>
      <w:tabs>
        <w:tab w:val="left" w:pos="709"/>
      </w:tabs>
      <w:ind w:hanging="360"/>
    </w:pPr>
    <w:rPr>
      <w:b w:val="0"/>
    </w:rPr>
  </w:style>
  <w:style w:type="character" w:styleId="GPSL2NumberedChar" w:customStyle="1">
    <w:name w:val="GPS L2 Numbered Char"/>
    <w:rPr>
      <w:rFonts w:cs="Arial" w:eastAsia="Times New Roman"/>
      <w:sz w:val="22"/>
      <w:szCs w:val="22"/>
      <w:lang w:eastAsia="zh-CN"/>
    </w:rPr>
  </w:style>
  <w:style w:type="character" w:styleId="GPSL2IndentChar" w:customStyle="1">
    <w:name w:val="GPS L2 Indent Char"/>
    <w:rPr>
      <w:rFonts w:cs="Arial" w:eastAsia="Times New Roman"/>
      <w:sz w:val="22"/>
      <w:szCs w:val="24"/>
      <w:lang w:eastAsia="en-US"/>
    </w:rPr>
  </w:style>
  <w:style w:type="character" w:styleId="GPSL4numberedclauseChar" w:customStyle="1">
    <w:name w:val="GPS L4 numbered clause Char"/>
    <w:rPr>
      <w:rFonts w:cs="Arial" w:eastAsia="Times New Roman"/>
      <w:sz w:val="22"/>
      <w:lang w:eastAsia="zh-CN"/>
    </w:rPr>
  </w:style>
  <w:style w:type="paragraph" w:styleId="GPSL3Indent" w:customStyle="1">
    <w:name w:val="GPS L3 Indent"/>
    <w:basedOn w:val="Normal"/>
    <w:pPr>
      <w:tabs>
        <w:tab w:val="left" w:pos="2127"/>
      </w:tabs>
      <w:suppressAutoHyphens w:val="0"/>
      <w:spacing w:after="120" w:before="120" w:line="240" w:lineRule="auto"/>
      <w:ind w:left="2127"/>
      <w:jc w:val="both"/>
    </w:pPr>
    <w:rPr>
      <w:rFonts w:ascii="Arial" w:cs="Arial" w:eastAsia="Times New Roman" w:hAnsi="Arial"/>
      <w:lang w:eastAsia="zh-CN" w:val="en-US"/>
    </w:rPr>
  </w:style>
  <w:style w:type="character" w:styleId="GPSL3IndentChar" w:customStyle="1">
    <w:name w:val="GPS L3 Indent Char"/>
    <w:rPr>
      <w:rFonts w:ascii="Arial" w:cs="Arial" w:eastAsia="Times New Roman" w:hAnsi="Arial"/>
      <w:sz w:val="22"/>
      <w:szCs w:val="22"/>
      <w:lang w:eastAsia="zh-CN" w:val="en-US"/>
    </w:rPr>
  </w:style>
  <w:style w:type="character" w:styleId="GPSL5numberedclauseChar" w:customStyle="1">
    <w:name w:val="GPS L5 numbered clause Char"/>
    <w:rPr>
      <w:rFonts w:cs="Arial" w:eastAsia="Times New Roman"/>
      <w:sz w:val="22"/>
      <w:lang w:eastAsia="zh-CN"/>
    </w:rPr>
  </w:style>
  <w:style w:type="paragraph" w:styleId="Body3" w:customStyle="1">
    <w:name w:val="Body3"/>
    <w:basedOn w:val="Normal"/>
    <w:pPr>
      <w:suppressAutoHyphens w:val="0"/>
      <w:spacing w:after="220" w:line="240" w:lineRule="auto"/>
      <w:ind w:left="1412"/>
      <w:jc w:val="both"/>
    </w:pPr>
    <w:rPr>
      <w:rFonts w:ascii="Trebuchet MS" w:eastAsia="Times New Roman" w:hAnsi="Trebuchet MS"/>
      <w:sz w:val="20"/>
      <w:szCs w:val="20"/>
    </w:rPr>
  </w:style>
  <w:style w:type="paragraph" w:styleId="GPSDefinitionTerm" w:customStyle="1">
    <w:name w:val="GPS Definition Term"/>
    <w:basedOn w:val="Normal"/>
    <w:pPr>
      <w:suppressAutoHyphens w:val="0"/>
      <w:overflowPunct w:val="0"/>
      <w:autoSpaceDE w:val="0"/>
      <w:spacing w:after="120" w:line="240" w:lineRule="auto"/>
      <w:ind w:left="-108"/>
    </w:pPr>
    <w:rPr>
      <w:rFonts w:cs="Arial" w:eastAsia="Times New Roman"/>
      <w:b w:val="1"/>
    </w:rPr>
  </w:style>
  <w:style w:type="character" w:styleId="Heading7Char" w:customStyle="1">
    <w:name w:val="Heading 7 Char"/>
    <w:basedOn w:val="DefaultParagraphFont"/>
    <w:rPr>
      <w:rFonts w:ascii="Arial" w:eastAsia="Times New Roman" w:hAnsi="Arial"/>
      <w:sz w:val="22"/>
      <w:szCs w:val="22"/>
      <w:lang w:eastAsia="en-US"/>
    </w:rPr>
  </w:style>
  <w:style w:type="character" w:styleId="Heading8Char" w:customStyle="1">
    <w:name w:val="Heading 8 Char"/>
    <w:basedOn w:val="DefaultParagraphFont"/>
    <w:rPr>
      <w:rFonts w:ascii="Arial" w:eastAsia="Times New Roman" w:hAnsi="Arial"/>
      <w:sz w:val="22"/>
      <w:szCs w:val="22"/>
      <w:lang w:eastAsia="en-US"/>
    </w:rPr>
  </w:style>
  <w:style w:type="paragraph" w:styleId="GPSL4boldheading" w:customStyle="1">
    <w:name w:val="GPS L4 bold heading"/>
    <w:basedOn w:val="GPSL3numberedclause"/>
    <w:pPr>
      <w:numPr>
        <w:numId w:val="5"/>
      </w:numPr>
    </w:pPr>
    <w:rPr>
      <w:b w:val="1"/>
    </w:rPr>
  </w:style>
  <w:style w:type="character" w:styleId="GPSL4boldheadingChar" w:customStyle="1">
    <w:name w:val="GPS L4 bold heading Char"/>
    <w:rPr>
      <w:rFonts w:cs="Arial" w:eastAsia="Times New Roman"/>
      <w:b w:val="1"/>
      <w:sz w:val="22"/>
      <w:szCs w:val="22"/>
      <w:lang w:eastAsia="zh-CN"/>
    </w:rPr>
  </w:style>
  <w:style w:type="numbering" w:styleId="WWOutlineListStyle7" w:customStyle="1">
    <w:name w:val="WW_OutlineListStyle_7"/>
    <w:basedOn w:val="NoList"/>
  </w:style>
  <w:style w:type="numbering" w:styleId="WWOutlineListStyle6" w:customStyle="1">
    <w:name w:val="WW_OutlineListStyle_6"/>
    <w:basedOn w:val="NoList"/>
  </w:style>
  <w:style w:type="numbering" w:styleId="WWOutlineListStyle5" w:customStyle="1">
    <w:name w:val="WW_OutlineListStyle_5"/>
    <w:basedOn w:val="NoList"/>
  </w:style>
  <w:style w:type="numbering" w:styleId="WWOutlineListStyle4" w:customStyle="1">
    <w:name w:val="WW_OutlineListStyle_4"/>
    <w:basedOn w:val="NoList"/>
  </w:style>
  <w:style w:type="numbering" w:styleId="WWOutlineListStyle3" w:customStyle="1">
    <w:name w:val="WW_OutlineListStyle_3"/>
    <w:basedOn w:val="NoList"/>
  </w:style>
  <w:style w:type="numbering" w:styleId="WWOutlineListStyle2" w:customStyle="1">
    <w:name w:val="WW_OutlineListStyle_2"/>
    <w:basedOn w:val="NoList"/>
  </w:style>
  <w:style w:type="numbering" w:styleId="WWOutlineListStyle1" w:customStyle="1">
    <w:name w:val="WW_OutlineListStyle_1"/>
    <w:basedOn w:val="NoList"/>
  </w:style>
  <w:style w:type="numbering" w:styleId="WWOutlineListStyle" w:customStyle="1">
    <w:name w:val="WW_OutlineListStyle"/>
    <w:basedOn w:val="NoList"/>
  </w:style>
  <w:style w:type="numbering" w:styleId="LFO7" w:customStyle="1">
    <w:name w:val="LFO7"/>
    <w:basedOn w:val="NoList"/>
  </w:style>
  <w:style w:type="numbering" w:styleId="LFO9" w:customStyle="1">
    <w:name w:val="LFO9"/>
    <w:basedOn w:val="NoList"/>
  </w:style>
  <w:style w:type="numbering" w:styleId="LFO10" w:customStyle="1">
    <w:name w:val="LFO10"/>
    <w:basedOn w:val="NoList"/>
  </w:style>
  <w:style w:type="numbering" w:styleId="LFO12" w:customStyle="1">
    <w:name w:val="LFO12"/>
    <w:basedOn w:val="NoList"/>
  </w:style>
  <w:style w:type="numbering" w:styleId="LFO13" w:customStyle="1">
    <w:name w:val="LFO13"/>
    <w:basedOn w:val="NoList"/>
  </w:style>
  <w:style w:type="table" w:styleId="LightShading-Accent5">
    <w:name w:val="Light Shading Accent 5"/>
    <w:basedOn w:val="TableNormal"/>
    <w:uiPriority w:val="60"/>
    <w:rPr>
      <w:color w:val="31849b" w:themeColor="accent5" w:themeShade="0000BF"/>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TableGrid">
    <w:name w:val="Table Grid"/>
    <w:basedOn w:val="TableNormal"/>
    <w:uiPriority w:val="5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ListTable3-Accent51" w:customStyle="1">
    <w:name w:val="List Table 3 - Accent 51"/>
    <w:basedOn w:val="TableNormal"/>
    <w:uiPriority w:val="48"/>
    <w:tblPr>
      <w:tblStyleRowBandSize w:val="1"/>
      <w:tblStyleColBandSize w:val="1"/>
      <w:tblBorders>
        <w:top w:color="4bacc6" w:space="0" w:sz="4" w:themeColor="accent5" w:val="single"/>
        <w:left w:color="4bacc6" w:space="0" w:sz="4" w:themeColor="accent5" w:val="single"/>
        <w:bottom w:color="4bacc6" w:space="0" w:sz="4" w:themeColor="accent5" w:val="single"/>
        <w:right w:color="4bacc6" w:space="0" w:sz="4" w:themeColor="accent5" w:val="single"/>
      </w:tblBorders>
    </w:tblPr>
    <w:tblStylePr w:type="firstRow">
      <w:rPr>
        <w:b w:val="1"/>
        <w:bCs w:val="1"/>
        <w:color w:val="ffffff" w:themeColor="background1"/>
      </w:rPr>
      <w:tblPr/>
      <w:tcPr>
        <w:shd w:color="auto" w:fill="4bacc6" w:themeFill="accent5" w:val="clear"/>
      </w:tcPr>
    </w:tblStylePr>
    <w:tblStylePr w:type="lastRow">
      <w:rPr>
        <w:b w:val="1"/>
        <w:bCs w:val="1"/>
      </w:rPr>
      <w:tblPr/>
      <w:tcPr>
        <w:tcBorders>
          <w:top w:color="4bacc6" w:space="0" w:sz="4" w:themeColor="accent5"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4bacc6" w:space="0" w:sz="4" w:themeColor="accent5" w:val="single"/>
          <w:right w:color="4bacc6" w:space="0" w:sz="4" w:themeColor="accent5" w:val="single"/>
        </w:tcBorders>
      </w:tcPr>
    </w:tblStylePr>
    <w:tblStylePr w:type="band1Horz">
      <w:tblPr/>
      <w:tcPr>
        <w:tcBorders>
          <w:top w:color="4bacc6" w:space="0" w:sz="4" w:themeColor="accent5" w:val="single"/>
          <w:bottom w:color="4bacc6" w:space="0" w:sz="4" w:themeColor="accent5"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4bacc6" w:space="0" w:sz="4" w:themeColor="accent5" w:val="double"/>
          <w:left w:space="0" w:sz="0" w:val="nil"/>
        </w:tcBorders>
      </w:tcPr>
    </w:tblStylePr>
    <w:tblStylePr w:type="swCell">
      <w:tblPr/>
      <w:tcPr>
        <w:tcBorders>
          <w:top w:color="4bacc6" w:space="0" w:sz="4" w:themeColor="accent5" w:val="double"/>
          <w:right w:space="0" w:sz="0" w:val="nil"/>
        </w:tcBorders>
      </w:tcPr>
    </w:tblStylePr>
  </w:style>
  <w:style w:type="table" w:styleId="GridTable2-Accent51" w:customStyle="1">
    <w:name w:val="Grid Table 2 - Accent 51"/>
    <w:basedOn w:val="TableNormal"/>
    <w:uiPriority w:val="47"/>
    <w:tblPr>
      <w:tblStyleRowBandSize w:val="1"/>
      <w:tblStyleColBandSize w:val="1"/>
      <w:tblBorders>
        <w:top w:color="92cddc" w:space="0" w:sz="2" w:themeColor="accent5" w:themeTint="000099" w:val="single"/>
        <w:bottom w:color="92cddc" w:space="0" w:sz="2" w:themeColor="accent5" w:themeTint="000099" w:val="single"/>
        <w:insideH w:color="92cddc" w:space="0" w:sz="2" w:themeColor="accent5" w:themeTint="000099" w:val="single"/>
        <w:insideV w:color="92cddc" w:space="0" w:sz="2" w:themeColor="accent5" w:themeTint="000099" w:val="single"/>
      </w:tblBorders>
    </w:tblPr>
    <w:tblStylePr w:type="firstRow">
      <w:rPr>
        <w:b w:val="1"/>
        <w:bCs w:val="1"/>
      </w:rPr>
      <w:tblPr/>
      <w:tcPr>
        <w:tcBorders>
          <w:top w:space="0" w:sz="0" w:val="nil"/>
          <w:bottom w:color="92cddc" w:space="0" w:sz="12" w:themeColor="accent5" w:themeTint="000099" w:val="single"/>
          <w:insideH w:space="0" w:sz="0" w:val="nil"/>
          <w:insideV w:space="0" w:sz="0" w:val="nil"/>
        </w:tcBorders>
        <w:shd w:color="auto" w:fill="ffffff" w:themeFill="background1" w:val="clear"/>
      </w:tcPr>
    </w:tblStylePr>
    <w:tblStylePr w:type="lastRow">
      <w:rPr>
        <w:b w:val="1"/>
        <w:bCs w:val="1"/>
      </w:rPr>
      <w:tblPr/>
      <w:tcPr>
        <w:tcBorders>
          <w:top w:color="92cddc" w:space="0" w:sz="2" w:themeColor="accent5"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GridTable2-Accent11" w:customStyle="1">
    <w:name w:val="Grid Table 2 - Accent 11"/>
    <w:basedOn w:val="TableNormal"/>
    <w:uiPriority w:val="47"/>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4-Accent11" w:customStyle="1">
    <w:name w:val="Grid Table 4 - Accent 11"/>
    <w:basedOn w:val="TableNormal"/>
    <w:uiPriority w:val="49"/>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color w:val="ffffff" w:themeColor="background1"/>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space="0" w:sz="0" w:val="nil"/>
          <w:insideV w:space="0" w:sz="0" w:val="nil"/>
        </w:tcBorders>
        <w:shd w:color="auto" w:fill="4f81bd" w:themeFill="accent1" w:val="clear"/>
      </w:tcPr>
    </w:tblStylePr>
    <w:tblStylePr w:type="lastRow">
      <w:rPr>
        <w:b w:val="1"/>
        <w:bCs w:val="1"/>
      </w:rPr>
      <w:tblPr/>
      <w:tcPr>
        <w:tcBorders>
          <w:top w:color="4f81bd" w:space="0" w:sz="4" w:themeColor="accent1"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6Colorful-Accent11" w:customStyle="1">
    <w:name w:val="Grid Table 6 Colorful - Accent 11"/>
    <w:basedOn w:val="TableNormal"/>
    <w:uiPriority w:val="51"/>
    <w:rPr>
      <w:color w:val="365f91" w:themeColor="accent1" w:themeShade="0000BF"/>
    </w:rPr>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rPr>
      <w:tblPr/>
      <w:tcPr>
        <w:tcBorders>
          <w:bottom w:color="95b3d7" w:space="0" w:sz="12" w:themeColor="accent1" w:themeTint="000099" w:val="single"/>
        </w:tcBorders>
      </w:tcPr>
    </w:tblStylePr>
    <w:tblStylePr w:type="lastRow">
      <w:rPr>
        <w:b w:val="1"/>
        <w:bCs w:val="1"/>
      </w:rPr>
      <w:tblPr/>
      <w:tcPr>
        <w:tcBorders>
          <w:top w:color="95b3d7"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paragraph" w:styleId="EndnoteText">
    <w:name w:val="endnote text"/>
    <w:basedOn w:val="Normal"/>
    <w:link w:val="EndnoteTextChar"/>
    <w:uiPriority w:val="99"/>
    <w:semiHidden w:val="1"/>
    <w:unhideWhenUsed w:val="1"/>
    <w:pPr>
      <w:spacing w:after="0" w:line="240" w:lineRule="auto"/>
    </w:pPr>
    <w:rPr>
      <w:sz w:val="20"/>
      <w:szCs w:val="20"/>
    </w:rPr>
  </w:style>
  <w:style w:type="character" w:styleId="EndnoteTextChar" w:customStyle="1">
    <w:name w:val="Endnote Text Char"/>
    <w:basedOn w:val="DefaultParagraphFont"/>
    <w:link w:val="EndnoteText"/>
    <w:uiPriority w:val="99"/>
    <w:semiHidden w:val="1"/>
    <w:rPr>
      <w:lang w:eastAsia="en-US"/>
    </w:rPr>
  </w:style>
  <w:style w:type="character" w:styleId="EndnoteReference">
    <w:name w:val="endnote reference"/>
    <w:basedOn w:val="DefaultParagraphFont"/>
    <w:uiPriority w:val="99"/>
    <w:semiHidden w:val="1"/>
    <w:unhideWhenUsed w:val="1"/>
    <w:rPr>
      <w:vertAlign w:val="superscript"/>
    </w:rPr>
  </w:style>
  <w:style w:type="table" w:styleId="LightList">
    <w:name w:val="Light List"/>
    <w:basedOn w:val="TableNormal"/>
    <w:uiPriority w:val="61"/>
    <w:rsid w:val="00AB5036"/>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0" w:customStyle="1">
    <w:basedOn w:val="TableNormal"/>
    <w:rPr>
      <w:color w:val="366091"/>
    </w:rPr>
    <w:tblPr>
      <w:tblStyleRowBandSize w:val="1"/>
      <w:tblStyleColBandSize w:val="1"/>
    </w:tblPr>
  </w:style>
  <w:style w:type="table" w:styleId="a1"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2"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3" w:customStyle="1">
    <w:basedOn w:val="TableNormal"/>
    <w:rPr>
      <w:color w:val="366091"/>
    </w:rPr>
    <w:tblPr>
      <w:tblStyleRowBandSize w:val="1"/>
      <w:tblStyleColBandSize w:val="1"/>
    </w:tblPr>
  </w:style>
  <w:style w:type="table" w:styleId="a4"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5"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6" w:customStyle="1">
    <w:basedOn w:val="TableNormal"/>
    <w:rPr>
      <w:color w:val="366091"/>
    </w:rPr>
    <w:tblPr>
      <w:tblStyleRowBandSize w:val="1"/>
      <w:tblStyleColBandSize w:val="1"/>
    </w:tblPr>
  </w:style>
  <w:style w:type="table" w:styleId="a7"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08.0" w:type="dxa"/>
        <w:bottom w:w="0.0" w:type="dxa"/>
        <w:right w:w="108.0" w:type="dxa"/>
      </w:tblCellMar>
    </w:tblPr>
    <w:tblStylePr w:type="band1Horz">
      <w:tcPr>
        <w:tcBorders>
          <w:top w:color="000000" w:space="0" w:sz="8" w:val="single"/>
          <w:left w:color="000000" w:space="0" w:sz="8" w:val="single"/>
          <w:bottom w:color="000000" w:space="0" w:sz="8" w:val="single"/>
          <w:right w:color="000000" w:space="0" w:sz="8" w:val="single"/>
        </w:tcBorders>
      </w:tcPr>
    </w:tblStylePr>
    <w:tblStylePr w:type="band1Vert">
      <w:tcPr>
        <w:tcBorders>
          <w:top w:color="000000" w:space="0" w:sz="8" w:val="single"/>
          <w:left w:color="000000" w:space="0" w:sz="8" w:val="single"/>
          <w:bottom w:color="000000" w:space="0" w:sz="8" w:val="single"/>
          <w:right w:color="000000" w:space="0" w:sz="8" w:val="single"/>
        </w:tcBorders>
      </w:tcPr>
    </w:tblStylePr>
    <w:tblStylePr w:type="firstCol">
      <w:rPr>
        <w:b w:val="1"/>
      </w:rPr>
    </w:tblStylePr>
    <w:tblStylePr w:type="firstRow">
      <w:pPr>
        <w:spacing w:after="0" w:before="0" w:line="240" w:lineRule="auto"/>
      </w:pPr>
      <w:rPr>
        <w:b w:val="1"/>
        <w:color w:val="ffffff"/>
      </w:rPr>
      <w:tcPr>
        <w:shd w:fill="000000" w:val="clear"/>
      </w:tcPr>
    </w:tblStylePr>
    <w:tblStylePr w:type="lastCol">
      <w:rPr>
        <w:b w:val="1"/>
      </w:rPr>
    </w:tblStylePr>
    <w:tblStylePr w:type="lastRow">
      <w:pPr>
        <w:spacing w:after="0" w:before="0" w:line="240" w:lineRule="auto"/>
      </w:pPr>
      <w:rPr>
        <w:b w:val="1"/>
      </w:rPr>
      <w:tcPr>
        <w:tcBorders>
          <w:top w:color="000000" w:space="0" w:sz="6" w:val="single"/>
          <w:left w:color="000000" w:space="0" w:sz="8" w:val="single"/>
          <w:bottom w:color="000000" w:space="0" w:sz="8" w:val="single"/>
          <w:right w:color="000000" w:space="0" w:sz="8" w:val="single"/>
        </w:tcBorders>
      </w:tcPr>
    </w:tblStylePr>
  </w:style>
  <w:style w:type="table" w:styleId="Table2">
    <w:basedOn w:val="TableNormal"/>
    <w:rPr>
      <w:color w:val="366091"/>
    </w:rPr>
    <w:tblPr>
      <w:tblStyleRowBandSize w:val="1"/>
      <w:tblStyleColBandSize w:val="1"/>
      <w:tblCellMar>
        <w:top w:w="0.0" w:type="dxa"/>
        <w:left w:w="108.0" w:type="dxa"/>
        <w:bottom w:w="0.0" w:type="dxa"/>
        <w:right w:w="108.0" w:type="dxa"/>
      </w:tblCellMar>
    </w:tblPr>
  </w:style>
  <w:style w:type="table" w:styleId="Table3">
    <w:basedOn w:val="TableNormal"/>
    <w:rPr>
      <w:color w:val="366091"/>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08.0" w:type="dxa"/>
        <w:bottom w:w="0.0" w:type="dxa"/>
        <w:right w:w="108.0" w:type="dxa"/>
      </w:tblCellMar>
    </w:tblPr>
    <w:tblStylePr w:type="band1Horz">
      <w:tcPr>
        <w:tcBorders>
          <w:top w:color="000000" w:space="0" w:sz="8" w:val="single"/>
          <w:left w:color="000000" w:space="0" w:sz="8" w:val="single"/>
          <w:bottom w:color="000000" w:space="0" w:sz="8" w:val="single"/>
          <w:right w:color="000000" w:space="0" w:sz="8" w:val="single"/>
        </w:tcBorders>
      </w:tcPr>
    </w:tblStylePr>
    <w:tblStylePr w:type="band1Vert">
      <w:tcPr>
        <w:tcBorders>
          <w:top w:color="000000" w:space="0" w:sz="8" w:val="single"/>
          <w:left w:color="000000" w:space="0" w:sz="8" w:val="single"/>
          <w:bottom w:color="000000" w:space="0" w:sz="8" w:val="single"/>
          <w:right w:color="000000" w:space="0" w:sz="8" w:val="single"/>
        </w:tcBorders>
      </w:tcPr>
    </w:tblStylePr>
    <w:tblStylePr w:type="firstCol">
      <w:rPr>
        <w:b w:val="1"/>
      </w:rPr>
    </w:tblStylePr>
    <w:tblStylePr w:type="firstRow">
      <w:pPr>
        <w:spacing w:after="0" w:before="0" w:line="240" w:lineRule="auto"/>
      </w:pPr>
      <w:rPr>
        <w:b w:val="1"/>
        <w:color w:val="ffffff"/>
      </w:rPr>
      <w:tcPr>
        <w:shd w:fill="000000" w:val="clear"/>
      </w:tcPr>
    </w:tblStylePr>
    <w:tblStylePr w:type="lastCol">
      <w:rPr>
        <w:b w:val="1"/>
      </w:rPr>
    </w:tblStylePr>
    <w:tblStylePr w:type="lastRow">
      <w:pPr>
        <w:spacing w:after="0" w:before="0" w:line="240" w:lineRule="auto"/>
      </w:pPr>
      <w:rPr>
        <w:b w:val="1"/>
      </w:rPr>
      <w:tcPr>
        <w:tcBorders>
          <w:top w:color="000000" w:space="0" w:sz="6" w:val="single"/>
          <w:left w:color="000000" w:space="0" w:sz="8" w:val="single"/>
          <w:bottom w:color="000000" w:space="0" w:sz="8" w:val="single"/>
          <w:right w:color="000000" w:space="0" w:sz="8" w:val="single"/>
        </w:tcBorders>
      </w:tcPr>
    </w:tblStylePr>
  </w:style>
  <w:style w:type="table" w:styleId="Table2">
    <w:basedOn w:val="TableNormal"/>
    <w:rPr>
      <w:color w:val="366091"/>
    </w:rPr>
    <w:tblPr>
      <w:tblStyleRowBandSize w:val="1"/>
      <w:tblStyleColBandSize w:val="1"/>
      <w:tblCellMar>
        <w:top w:w="0.0" w:type="dxa"/>
        <w:left w:w="108.0" w:type="dxa"/>
        <w:bottom w:w="0.0" w:type="dxa"/>
        <w:right w:w="108.0" w:type="dxa"/>
      </w:tblCellMar>
    </w:tblPr>
  </w:style>
  <w:style w:type="table" w:styleId="Table3">
    <w:basedOn w:val="TableNormal"/>
    <w:rPr>
      <w:color w:val="366091"/>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2.png"/><Relationship Id="rId10" Type="http://schemas.openxmlformats.org/officeDocument/2006/relationships/footer" Target="footer2.xml"/><Relationship Id="rId12" Type="http://schemas.openxmlformats.org/officeDocument/2006/relationships/image" Target="media/image1.png"/><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uXhwblCjuflv692+c/decnGzqA==">CgMxLjAyCWguMzBqMHpsbDIIaC5namRneHMyCmlkLjMwajB6bGw4AHIhMUtBdDMtdy1SY25lT0ZqSGxmQl9YVVU4a2I4TEFJaEVX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2024-08-20T08:03:00Z</dcterms:created>
  <dc:creator>Andrew Thomas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